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HAnsi" w:hAnsi="Arial" w:cs="Arial"/>
          <w:color w:val="000000" w:themeColor="text1"/>
          <w:kern w:val="2"/>
          <w:sz w:val="24"/>
          <w:szCs w:val="24"/>
          <w:lang w:val="en-GB" w:eastAsia="en-US"/>
          <w14:ligatures w14:val="standardContextual"/>
        </w:rPr>
        <w:id w:val="842200794"/>
        <w:docPartObj>
          <w:docPartGallery w:val="Cover Pages"/>
          <w:docPartUnique/>
        </w:docPartObj>
      </w:sdtPr>
      <w:sdtEndPr>
        <w:rPr>
          <w:sz w:val="28"/>
          <w:szCs w:val="22"/>
        </w:rPr>
      </w:sdtEndPr>
      <w:sdtContent>
        <w:p w14:paraId="56227F12" w14:textId="50FA4CD1" w:rsidR="003F70B0" w:rsidRPr="006D5BC3" w:rsidRDefault="005456AF" w:rsidP="00670BFE">
          <w:pPr>
            <w:pStyle w:val="NoSpacing"/>
            <w:spacing w:before="240" w:line="360" w:lineRule="auto"/>
            <w:rPr>
              <w:rFonts w:ascii="Arial" w:hAnsi="Arial" w:cs="Arial"/>
            </w:rPr>
          </w:pPr>
          <w:r w:rsidRPr="006D5BC3">
            <w:rPr>
              <w:rFonts w:ascii="Arial" w:hAnsi="Arial" w:cs="Arial"/>
              <w:noProof/>
            </w:rPr>
            <mc:AlternateContent>
              <mc:Choice Requires="wps">
                <w:drawing>
                  <wp:anchor distT="0" distB="0" distL="114300" distR="114300" simplePos="0" relativeHeight="251658241" behindDoc="0" locked="0" layoutInCell="1" allowOverlap="1" wp14:anchorId="464FD9E7" wp14:editId="2D61BBB4">
                    <wp:simplePos x="0" y="0"/>
                    <wp:positionH relativeFrom="column">
                      <wp:posOffset>-247015</wp:posOffset>
                    </wp:positionH>
                    <wp:positionV relativeFrom="paragraph">
                      <wp:posOffset>-4149304</wp:posOffset>
                    </wp:positionV>
                    <wp:extent cx="5153025" cy="3153398"/>
                    <wp:effectExtent l="0" t="0" r="0" b="0"/>
                    <wp:wrapNone/>
                    <wp:docPr id="5138730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3153398"/>
                            </a:xfrm>
                            <a:prstGeom prst="rect">
                              <a:avLst/>
                            </a:prstGeom>
                            <a:noFill/>
                            <a:ln w="6350">
                              <a:noFill/>
                            </a:ln>
                          </wps:spPr>
                          <wps:txbx>
                            <w:txbxContent>
                              <w:p w14:paraId="1C919D0E" w14:textId="039CCA4D" w:rsidR="003F70B0" w:rsidRPr="001151FD" w:rsidRDefault="003F70B0" w:rsidP="003F70B0">
                                <w:pPr>
                                  <w:rPr>
                                    <w:rFonts w:ascii="Lexend" w:hAnsi="Lexend" w:cs="Times New Roman (Body CS)"/>
                                    <w:b/>
                                    <w:bCs/>
                                    <w:sz w:val="92"/>
                                    <w:szCs w:val="92"/>
                                  </w:rPr>
                                </w:pPr>
                                <w:r w:rsidRPr="001151FD">
                                  <w:rPr>
                                    <w:rFonts w:ascii="Lexend" w:hAnsi="Lexend" w:cs="Times New Roman (Body CS)"/>
                                    <w:b/>
                                    <w:bCs/>
                                    <w:sz w:val="92"/>
                                    <w:szCs w:val="92"/>
                                  </w:rPr>
                                  <w:t>[Insert title]</w:t>
                                </w:r>
                                <w:r w:rsidRPr="001151FD">
                                  <w:rPr>
                                    <w:rFonts w:ascii="Lexend" w:hAnsi="Lexend" w:cs="Times New Roman (Body CS)"/>
                                    <w:b/>
                                    <w:bCs/>
                                    <w:sz w:val="92"/>
                                    <w:szCs w:val="92"/>
                                  </w:rPr>
                                  <w:br/>
                                </w:r>
                                <w:r w:rsidRPr="001151FD">
                                  <w:rPr>
                                    <w:rFonts w:ascii="Lexend" w:hAnsi="Lexend" w:cs="Times New Roman (Body CS)"/>
                                    <w:sz w:val="56"/>
                                    <w:szCs w:val="56"/>
                                  </w:rPr>
                                  <w:t>[</w:t>
                                </w:r>
                                <w:r w:rsidR="00EA4BA5" w:rsidRPr="001151FD">
                                  <w:rPr>
                                    <w:rFonts w:ascii="Lexend" w:hAnsi="Lexend" w:cs="Times New Roman (Body CS)"/>
                                    <w:sz w:val="56"/>
                                    <w:szCs w:val="56"/>
                                  </w:rPr>
                                  <w:t>Insert s</w:t>
                                </w:r>
                                <w:r w:rsidRPr="001151FD">
                                  <w:rPr>
                                    <w:rFonts w:ascii="Lexend" w:hAnsi="Lexend" w:cs="Times New Roman (Body CS)"/>
                                    <w:sz w:val="56"/>
                                    <w:szCs w:val="56"/>
                                  </w:rPr>
                                  <w:t>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64FD9E7" id="_x0000_t202" coordsize="21600,21600" o:spt="202" path="m,l,21600r21600,l21600,xe">
                    <v:stroke joinstyle="miter"/>
                    <v:path gradientshapeok="t" o:connecttype="rect"/>
                  </v:shapetype>
                  <v:shape id="_x0000_s1026" type="#_x0000_t202" alt="&quot;&quot;" style="position:absolute;margin-left:-19.45pt;margin-top:-326.7pt;width:405.75pt;height:24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6PFwIAAC0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" filled="f" stroked="f" strokeweight=".5pt">
                    <v:textbox>
                      <w:txbxContent>
                        <w:p w14:paraId="1C919D0E" w14:textId="039CCA4D" w:rsidR="003F70B0" w:rsidRPr="001151FD" w:rsidRDefault="003F70B0" w:rsidP="003F70B0">
                          <w:pPr>
                            <w:rPr>
                              <w:rFonts w:ascii="Lexend" w:hAnsi="Lexend" w:cs="Times New Roman (Body CS)"/>
                              <w:b/>
                              <w:bCs/>
                              <w:sz w:val="92"/>
                              <w:szCs w:val="92"/>
                            </w:rPr>
                          </w:pPr>
                          <w:r w:rsidRPr="001151FD">
                            <w:rPr>
                              <w:rFonts w:ascii="Lexend" w:hAnsi="Lexend" w:cs="Times New Roman (Body CS)"/>
                              <w:b/>
                              <w:bCs/>
                              <w:sz w:val="92"/>
                              <w:szCs w:val="92"/>
                            </w:rPr>
                            <w:t>[Insert title]</w:t>
                          </w:r>
                          <w:r w:rsidRPr="001151FD">
                            <w:rPr>
                              <w:rFonts w:ascii="Lexend" w:hAnsi="Lexend" w:cs="Times New Roman (Body CS)"/>
                              <w:b/>
                              <w:bCs/>
                              <w:sz w:val="92"/>
                              <w:szCs w:val="92"/>
                            </w:rPr>
                            <w:br/>
                          </w:r>
                          <w:r w:rsidRPr="001151FD">
                            <w:rPr>
                              <w:rFonts w:ascii="Lexend" w:hAnsi="Lexend" w:cs="Times New Roman (Body CS)"/>
                              <w:sz w:val="56"/>
                              <w:szCs w:val="56"/>
                            </w:rPr>
                            <w:t>[</w:t>
                          </w:r>
                          <w:r w:rsidR="00EA4BA5" w:rsidRPr="001151FD">
                            <w:rPr>
                              <w:rFonts w:ascii="Lexend" w:hAnsi="Lexend" w:cs="Times New Roman (Body CS)"/>
                              <w:sz w:val="56"/>
                              <w:szCs w:val="56"/>
                            </w:rPr>
                            <w:t>Insert s</w:t>
                          </w:r>
                          <w:r w:rsidRPr="001151FD">
                            <w:rPr>
                              <w:rFonts w:ascii="Lexend" w:hAnsi="Lexend" w:cs="Times New Roman (Body CS)"/>
                              <w:sz w:val="56"/>
                              <w:szCs w:val="56"/>
                            </w:rPr>
                            <w:t>ubtitle]</w:t>
                          </w:r>
                        </w:p>
                      </w:txbxContent>
                    </v:textbox>
                  </v:shape>
                </w:pict>
              </mc:Fallback>
            </mc:AlternateContent>
          </w:r>
          <w:r w:rsidRPr="006D5BC3">
            <w:rPr>
              <w:rFonts w:ascii="Arial" w:hAnsi="Arial" w:cs="Arial"/>
              <w:noProof/>
            </w:rPr>
            <mc:AlternateContent>
              <mc:Choice Requires="wps">
                <w:drawing>
                  <wp:anchor distT="0" distB="0" distL="114300" distR="114300" simplePos="0" relativeHeight="251658240" behindDoc="0" locked="0" layoutInCell="1" allowOverlap="1" wp14:anchorId="3C979D66" wp14:editId="678271AB">
                    <wp:simplePos x="0" y="0"/>
                    <wp:positionH relativeFrom="column">
                      <wp:posOffset>-250825</wp:posOffset>
                    </wp:positionH>
                    <wp:positionV relativeFrom="paragraph">
                      <wp:posOffset>-8143020</wp:posOffset>
                    </wp:positionV>
                    <wp:extent cx="2717165" cy="4953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2FCB1281" w14:textId="6F774DBE" w:rsidR="003F70B0" w:rsidRPr="001151FD" w:rsidRDefault="003F70B0" w:rsidP="003F70B0">
                                <w:pPr>
                                  <w:rPr>
                                    <w:rFonts w:ascii="Lexend" w:hAnsi="Lexend" w:cs="Times New Roman (Body CS)"/>
                                    <w:sz w:val="36"/>
                                  </w:rPr>
                                </w:pPr>
                                <w:r w:rsidRPr="001151FD">
                                  <w:rPr>
                                    <w:rFonts w:ascii="Lexend" w:hAnsi="Lexend" w:cs="Times New Roman (Body CS)"/>
                                    <w:sz w:val="36"/>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C979D66" id="_x0000_s1027" type="#_x0000_t202" style="position:absolute;margin-left:-19.75pt;margin-top:-641.2pt;width:213.9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NCGgIAADM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" filled="f" stroked="f" strokeweight=".5pt">
                    <v:textbox>
                      <w:txbxContent>
                        <w:p w14:paraId="2FCB1281" w14:textId="6F774DBE" w:rsidR="003F70B0" w:rsidRPr="001151FD" w:rsidRDefault="003F70B0" w:rsidP="003F70B0">
                          <w:pPr>
                            <w:rPr>
                              <w:rFonts w:ascii="Lexend" w:hAnsi="Lexend" w:cs="Times New Roman (Body CS)"/>
                              <w:sz w:val="36"/>
                            </w:rPr>
                          </w:pPr>
                          <w:r w:rsidRPr="001151FD">
                            <w:rPr>
                              <w:rFonts w:ascii="Lexend" w:hAnsi="Lexend" w:cs="Times New Roman (Body CS)"/>
                              <w:sz w:val="36"/>
                            </w:rPr>
                            <w:t>[Date]</w:t>
                          </w:r>
                        </w:p>
                      </w:txbxContent>
                    </v:textbox>
                  </v:shape>
                </w:pict>
              </mc:Fallback>
            </mc:AlternateContent>
          </w:r>
        </w:p>
        <w:p w14:paraId="311311D9" w14:textId="70D5231C" w:rsidR="003F70B0" w:rsidRDefault="001151FD" w:rsidP="00670BFE">
          <w:pPr>
            <w:spacing w:before="240"/>
            <w:rPr>
              <w:rFonts w:cs="Arial"/>
            </w:rPr>
          </w:pPr>
          <w:r w:rsidRPr="006D5BC3">
            <w:rPr>
              <w:rFonts w:cs="Arial"/>
              <w:noProof/>
            </w:rPr>
            <mc:AlternateContent>
              <mc:Choice Requires="wps">
                <w:drawing>
                  <wp:inline distT="0" distB="0" distL="0" distR="0" wp14:anchorId="583E90C1" wp14:editId="1FD2F40C">
                    <wp:extent cx="5920966" cy="3583172"/>
                    <wp:effectExtent l="0" t="0" r="0" b="0"/>
                    <wp:docPr id="2032004972" name="Text Box 2"/>
                    <wp:cNvGraphicFramePr/>
                    <a:graphic xmlns:a="http://schemas.openxmlformats.org/drawingml/2006/main">
                      <a:graphicData uri="http://schemas.microsoft.com/office/word/2010/wordprocessingShape">
                        <wps:wsp>
                          <wps:cNvSpPr txBox="1"/>
                          <wps:spPr>
                            <a:xfrm>
                              <a:off x="0" y="0"/>
                              <a:ext cx="5920966" cy="3583172"/>
                            </a:xfrm>
                            <a:prstGeom prst="rect">
                              <a:avLst/>
                            </a:prstGeom>
                            <a:noFill/>
                            <a:ln w="6350">
                              <a:noFill/>
                            </a:ln>
                          </wps:spPr>
                          <wps:txbx>
                            <w:txbxContent>
                              <w:p w14:paraId="52A8269E" w14:textId="5D0106AD" w:rsidR="00291B25" w:rsidRPr="00291B25" w:rsidRDefault="00076C09" w:rsidP="00C91804">
                                <w:pPr>
                                  <w:pStyle w:val="Title"/>
                                  <w:spacing w:before="0" w:after="0" w:line="240" w:lineRule="auto"/>
                                  <w:rPr>
                                    <w:sz w:val="56"/>
                                  </w:rPr>
                                </w:pPr>
                                <w:r>
                                  <w:t>Economic Benefits of Accessible Transport</w:t>
                                </w:r>
                              </w:p>
                              <w:p w14:paraId="1EFCC582" w14:textId="77777777" w:rsidR="00BD2541" w:rsidRDefault="00BD2541" w:rsidP="0009395D">
                                <w:pPr>
                                  <w:spacing w:line="276" w:lineRule="auto"/>
                                  <w:rPr>
                                    <w:rFonts w:cs="Arial"/>
                                    <w:sz w:val="56"/>
                                    <w:szCs w:val="56"/>
                                  </w:rPr>
                                </w:pPr>
                              </w:p>
                              <w:p w14:paraId="6B8B1845" w14:textId="77777777" w:rsidR="00B636A2" w:rsidRPr="00CD5CF9" w:rsidRDefault="00F21501" w:rsidP="009249BF">
                                <w:pPr>
                                  <w:pStyle w:val="Subtitle"/>
                                  <w:rPr>
                                    <w:szCs w:val="52"/>
                                  </w:rPr>
                                </w:pPr>
                                <w:r w:rsidRPr="00CD5CF9">
                                  <w:rPr>
                                    <w:szCs w:val="52"/>
                                  </w:rPr>
                                  <w:t>Highlights</w:t>
                                </w:r>
                                <w:r w:rsidR="00BD2541" w:rsidRPr="00CD5CF9">
                                  <w:rPr>
                                    <w:szCs w:val="52"/>
                                  </w:rPr>
                                  <w:t xml:space="preserve"> Report</w:t>
                                </w:r>
                                <w:r w:rsidR="00B636A2" w:rsidRPr="00CD5CF9">
                                  <w:rPr>
                                    <w:szCs w:val="52"/>
                                  </w:rPr>
                                  <w:t>, November 2025</w:t>
                                </w:r>
                              </w:p>
                              <w:p w14:paraId="48A072BB" w14:textId="522EFB1D" w:rsidR="00BD2541" w:rsidRPr="00093BDA" w:rsidRDefault="00BD2541" w:rsidP="0009395D">
                                <w:pPr>
                                  <w:spacing w:line="276" w:lineRule="auto"/>
                                  <w:rPr>
                                    <w:rFonts w:cs="Arial"/>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583E90C1" id="Text Box 2" o:spid="_x0000_s1028" type="#_x0000_t202" style="width:466.2pt;height:28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" filled="f" stroked="f" strokeweight=".5pt">
                    <v:textbox>
                      <w:txbxContent>
                        <w:p w14:paraId="52A8269E" w14:textId="5D0106AD" w:rsidR="00291B25" w:rsidRPr="00291B25" w:rsidRDefault="00076C09" w:rsidP="00C91804">
                          <w:pPr>
                            <w:pStyle w:val="Title"/>
                            <w:spacing w:before="0" w:after="0" w:line="240" w:lineRule="auto"/>
                            <w:rPr>
                              <w:sz w:val="56"/>
                            </w:rPr>
                          </w:pPr>
                          <w:r>
                            <w:t>Economic Benefits of Accessible Transport</w:t>
                          </w:r>
                        </w:p>
                        <w:p w14:paraId="1EFCC582" w14:textId="77777777" w:rsidR="00BD2541" w:rsidRDefault="00BD2541" w:rsidP="0009395D">
                          <w:pPr>
                            <w:spacing w:line="276" w:lineRule="auto"/>
                            <w:rPr>
                              <w:rFonts w:cs="Arial"/>
                              <w:sz w:val="56"/>
                              <w:szCs w:val="56"/>
                            </w:rPr>
                          </w:pPr>
                        </w:p>
                        <w:p w14:paraId="6B8B1845" w14:textId="77777777" w:rsidR="00B636A2" w:rsidRPr="00CD5CF9" w:rsidRDefault="00F21501" w:rsidP="009249BF">
                          <w:pPr>
                            <w:pStyle w:val="Subtitle"/>
                            <w:rPr>
                              <w:szCs w:val="52"/>
                            </w:rPr>
                          </w:pPr>
                          <w:r w:rsidRPr="00CD5CF9">
                            <w:rPr>
                              <w:szCs w:val="52"/>
                            </w:rPr>
                            <w:t>Highlights</w:t>
                          </w:r>
                          <w:r w:rsidR="00BD2541" w:rsidRPr="00CD5CF9">
                            <w:rPr>
                              <w:szCs w:val="52"/>
                            </w:rPr>
                            <w:t xml:space="preserve"> Report</w:t>
                          </w:r>
                          <w:r w:rsidR="00B636A2" w:rsidRPr="00CD5CF9">
                            <w:rPr>
                              <w:szCs w:val="52"/>
                            </w:rPr>
                            <w:t>, November 2025</w:t>
                          </w:r>
                        </w:p>
                        <w:p w14:paraId="48A072BB" w14:textId="522EFB1D" w:rsidR="00BD2541" w:rsidRPr="00093BDA" w:rsidRDefault="00BD2541" w:rsidP="0009395D">
                          <w:pPr>
                            <w:spacing w:line="276" w:lineRule="auto"/>
                            <w:rPr>
                              <w:rFonts w:cs="Arial"/>
                              <w:sz w:val="56"/>
                              <w:szCs w:val="56"/>
                            </w:rPr>
                          </w:pPr>
                        </w:p>
                      </w:txbxContent>
                    </v:textbox>
                    <w10:anchorlock/>
                  </v:shape>
                </w:pict>
              </mc:Fallback>
            </mc:AlternateContent>
          </w:r>
          <w:r w:rsidR="003F70B0" w:rsidRPr="006D5BC3">
            <w:rPr>
              <w:rFonts w:cs="Arial"/>
            </w:rPr>
            <w:br w:type="page"/>
          </w:r>
        </w:p>
      </w:sdtContent>
    </w:sdt>
    <w:p w14:paraId="5245E496" w14:textId="77777777" w:rsidR="002B7DBA" w:rsidRPr="00D278B8" w:rsidRDefault="002B7DBA" w:rsidP="00CD5CF9">
      <w:pPr>
        <w:pStyle w:val="Heading1"/>
      </w:pPr>
      <w:bookmarkStart w:id="0" w:name="_Toc177635557"/>
      <w:r w:rsidRPr="00D278B8">
        <w:lastRenderedPageBreak/>
        <w:t>1</w:t>
      </w:r>
      <w:r w:rsidRPr="00D278B8">
        <w:tab/>
        <w:t>Why did we do this work?</w:t>
      </w:r>
      <w:bookmarkEnd w:id="0"/>
    </w:p>
    <w:p w14:paraId="4B265160" w14:textId="4CB01980" w:rsidR="00E62627" w:rsidRDefault="00CC4728" w:rsidP="002503EC">
      <w:bookmarkStart w:id="1" w:name="_Toc177635558"/>
      <w:r w:rsidRPr="00CC4728">
        <w:t xml:space="preserve">Disabled people in the UK continue to face significant barriers to accessible transport, resulting in fewer journeys, longer travel times, and increased stress. </w:t>
      </w:r>
      <w:r w:rsidR="000C5FCB" w:rsidRPr="000C5FCB">
        <w:t xml:space="preserve">One of the issues faced by accessibility related schemes in transport is the lack of investment. Indeed, the previous ncat research </w:t>
      </w:r>
      <w:r w:rsidR="000C5FCB" w:rsidRPr="009E1F65">
        <w:rPr>
          <w:i/>
          <w:iCs/>
        </w:rPr>
        <w:t>Working together for accessible transport</w:t>
      </w:r>
      <w:r w:rsidR="000C5FCB" w:rsidRPr="000C5FCB">
        <w:t xml:space="preserve"> published in November 2024 found that accessibility improvements are seen to be too expensive, and it can be difficult to justify the investment. </w:t>
      </w:r>
      <w:r w:rsidRPr="00CC4728">
        <w:t>This project set out to identify the barriers to funding accessibility improvements and to provide recommendations for strengthening the economic case for accessible transport.</w:t>
      </w:r>
    </w:p>
    <w:p w14:paraId="4D001951" w14:textId="324CE179" w:rsidR="00326AF7" w:rsidRPr="00D278B8" w:rsidRDefault="00326AF7" w:rsidP="002503EC">
      <w:pPr>
        <w:pStyle w:val="Heading1"/>
      </w:pPr>
      <w:r w:rsidRPr="00D278B8">
        <w:t>2</w:t>
      </w:r>
      <w:r w:rsidRPr="00D278B8">
        <w:tab/>
      </w:r>
      <w:r w:rsidRPr="00D278B8">
        <w:rPr>
          <w:rStyle w:val="normaltextrun"/>
        </w:rPr>
        <w:t>What did we do, how did we do it, and who did we work with?</w:t>
      </w:r>
      <w:bookmarkEnd w:id="1"/>
      <w:r w:rsidRPr="00D278B8">
        <w:rPr>
          <w:rStyle w:val="eop"/>
        </w:rPr>
        <w:t> </w:t>
      </w:r>
    </w:p>
    <w:p w14:paraId="3F422BD7" w14:textId="4C58B06A" w:rsidR="00FF5C52" w:rsidRDefault="006D0C8A" w:rsidP="002503EC">
      <w:r w:rsidRPr="006D0C8A">
        <w:t xml:space="preserve">To ensure a robust and evidence-based understanding of the economic benefits of accessible transport, </w:t>
      </w:r>
      <w:r w:rsidR="00DF591C">
        <w:t>the project</w:t>
      </w:r>
      <w:r w:rsidR="00DF591C" w:rsidRPr="006D0C8A">
        <w:t xml:space="preserve"> </w:t>
      </w:r>
      <w:r w:rsidRPr="006D0C8A">
        <w:t>adopted a two-stage research approach</w:t>
      </w:r>
      <w:r w:rsidR="002D7609">
        <w:t>:</w:t>
      </w:r>
    </w:p>
    <w:p w14:paraId="22D75629" w14:textId="77777777" w:rsidR="002D7609" w:rsidRPr="009E1F65" w:rsidRDefault="002D7609" w:rsidP="002503EC">
      <w:pPr>
        <w:pStyle w:val="Heading2"/>
      </w:pPr>
      <w:r w:rsidRPr="009E1F65">
        <w:t>Stage 1: Discovery Phase</w:t>
      </w:r>
    </w:p>
    <w:p w14:paraId="3A111805" w14:textId="77777777" w:rsidR="002D7609" w:rsidRPr="002D7609" w:rsidRDefault="002D7609" w:rsidP="002503EC">
      <w:r w:rsidRPr="002D7609">
        <w:t>This phase combined desk-based research with direct stakeholder engagement to identify barriers and opportunities in appraising accessibility improvements.</w:t>
      </w:r>
    </w:p>
    <w:p w14:paraId="5252CD7B" w14:textId="2F30D459" w:rsidR="002D7609" w:rsidRDefault="002D7609">
      <w:pPr>
        <w:pStyle w:val="Text"/>
        <w:numPr>
          <w:ilvl w:val="0"/>
          <w:numId w:val="34"/>
        </w:numPr>
        <w:rPr>
          <w:rFonts w:cs="Arial"/>
          <w:szCs w:val="28"/>
        </w:rPr>
      </w:pPr>
      <w:r w:rsidRPr="002D7609">
        <w:rPr>
          <w:rFonts w:cs="Arial"/>
          <w:szCs w:val="28"/>
        </w:rPr>
        <w:t xml:space="preserve">Comprehensive </w:t>
      </w:r>
      <w:r w:rsidR="00077003">
        <w:rPr>
          <w:rFonts w:cs="Arial"/>
          <w:szCs w:val="28"/>
        </w:rPr>
        <w:t>r</w:t>
      </w:r>
      <w:r w:rsidRPr="002D7609">
        <w:rPr>
          <w:rFonts w:cs="Arial"/>
          <w:szCs w:val="28"/>
        </w:rPr>
        <w:t xml:space="preserve">eview of </w:t>
      </w:r>
      <w:r w:rsidR="00077003">
        <w:rPr>
          <w:rFonts w:cs="Arial"/>
          <w:szCs w:val="28"/>
        </w:rPr>
        <w:t>g</w:t>
      </w:r>
      <w:r w:rsidRPr="002D7609">
        <w:rPr>
          <w:rFonts w:cs="Arial"/>
          <w:szCs w:val="28"/>
        </w:rPr>
        <w:t xml:space="preserve">uidance: </w:t>
      </w:r>
      <w:r w:rsidR="00DC180E">
        <w:rPr>
          <w:rFonts w:cs="Arial"/>
          <w:szCs w:val="28"/>
        </w:rPr>
        <w:t>We a</w:t>
      </w:r>
      <w:r w:rsidRPr="002D7609">
        <w:rPr>
          <w:rFonts w:cs="Arial"/>
          <w:szCs w:val="28"/>
        </w:rPr>
        <w:t>nalysed key documents such as HM Treasury’s Green Book, the Department for Transport’s Transport Analysis Guidance, and related policy papers to assess how current funding and appraisal processes address accessibility.</w:t>
      </w:r>
    </w:p>
    <w:p w14:paraId="40F90DED" w14:textId="6BDE12C9" w:rsidR="002D7609" w:rsidRPr="002D7609" w:rsidRDefault="002D7609" w:rsidP="009E1F65">
      <w:pPr>
        <w:pStyle w:val="Text"/>
        <w:numPr>
          <w:ilvl w:val="0"/>
          <w:numId w:val="34"/>
        </w:numPr>
        <w:rPr>
          <w:rFonts w:cs="Arial"/>
          <w:szCs w:val="28"/>
        </w:rPr>
      </w:pPr>
      <w:r w:rsidRPr="002D7609">
        <w:rPr>
          <w:rFonts w:cs="Arial"/>
          <w:szCs w:val="28"/>
        </w:rPr>
        <w:t xml:space="preserve">Stakeholder </w:t>
      </w:r>
      <w:r w:rsidR="00077003">
        <w:rPr>
          <w:rFonts w:cs="Arial"/>
          <w:szCs w:val="28"/>
        </w:rPr>
        <w:t>e</w:t>
      </w:r>
      <w:r w:rsidRPr="002D7609">
        <w:rPr>
          <w:rFonts w:cs="Arial"/>
          <w:szCs w:val="28"/>
        </w:rPr>
        <w:t xml:space="preserve">ngagement: </w:t>
      </w:r>
      <w:r w:rsidR="00DC180E">
        <w:rPr>
          <w:rFonts w:cs="Arial"/>
          <w:szCs w:val="28"/>
        </w:rPr>
        <w:t>We c</w:t>
      </w:r>
      <w:r w:rsidRPr="002D7609">
        <w:rPr>
          <w:rFonts w:cs="Arial"/>
          <w:szCs w:val="28"/>
        </w:rPr>
        <w:t>onducted interviews and a workshop with public sector transport organisations, national government agencies, transport bodies, and a disabled people’s charity to gather practical insights and experiences.</w:t>
      </w:r>
    </w:p>
    <w:p w14:paraId="75636936" w14:textId="08545FA1" w:rsidR="002D7609" w:rsidRPr="002D7609" w:rsidRDefault="002D7609" w:rsidP="002D7609">
      <w:pPr>
        <w:pStyle w:val="Text"/>
        <w:rPr>
          <w:rFonts w:cs="Arial"/>
          <w:szCs w:val="28"/>
        </w:rPr>
      </w:pPr>
      <w:r w:rsidRPr="002D7609">
        <w:rPr>
          <w:rFonts w:cs="Arial"/>
          <w:szCs w:val="28"/>
        </w:rPr>
        <w:t xml:space="preserve">Findings from both streams were </w:t>
      </w:r>
      <w:r>
        <w:rPr>
          <w:rFonts w:cs="Arial"/>
          <w:szCs w:val="28"/>
        </w:rPr>
        <w:t>combined</w:t>
      </w:r>
      <w:r w:rsidRPr="002D7609">
        <w:rPr>
          <w:rFonts w:cs="Arial"/>
          <w:szCs w:val="28"/>
        </w:rPr>
        <w:t xml:space="preserve"> to highlight the main challenges in developing strong business cases for accessibility-related schemes and to capture examples of solutions currently being applied.</w:t>
      </w:r>
    </w:p>
    <w:p w14:paraId="7ACC2ADB" w14:textId="77777777" w:rsidR="002D7609" w:rsidRPr="009E1F65" w:rsidRDefault="002D7609" w:rsidP="002503EC">
      <w:pPr>
        <w:pStyle w:val="Heading2"/>
      </w:pPr>
      <w:r w:rsidRPr="009E1F65">
        <w:t>Stage 2: Recommendation Phase</w:t>
      </w:r>
    </w:p>
    <w:p w14:paraId="059513FE" w14:textId="77777777" w:rsidR="002D7609" w:rsidRPr="002D7609" w:rsidRDefault="002D7609" w:rsidP="002D7609">
      <w:pPr>
        <w:pStyle w:val="Text"/>
        <w:rPr>
          <w:rFonts w:cs="Arial"/>
          <w:szCs w:val="28"/>
        </w:rPr>
      </w:pPr>
      <w:r w:rsidRPr="002D7609">
        <w:rPr>
          <w:rFonts w:cs="Arial"/>
          <w:szCs w:val="28"/>
        </w:rPr>
        <w:t>Building on the discovery findings, this phase focused on developing actionable recommendations.</w:t>
      </w:r>
    </w:p>
    <w:p w14:paraId="0E24A961" w14:textId="399C935E" w:rsidR="002D7609" w:rsidRDefault="002D7609" w:rsidP="009E1F65">
      <w:pPr>
        <w:pStyle w:val="Text"/>
        <w:numPr>
          <w:ilvl w:val="0"/>
          <w:numId w:val="39"/>
        </w:numPr>
        <w:rPr>
          <w:rFonts w:cs="Arial"/>
          <w:szCs w:val="28"/>
        </w:rPr>
      </w:pPr>
      <w:r w:rsidRPr="002D7609">
        <w:rPr>
          <w:rFonts w:cs="Arial"/>
          <w:szCs w:val="28"/>
        </w:rPr>
        <w:t xml:space="preserve">Draft </w:t>
      </w:r>
      <w:r w:rsidR="00077003">
        <w:rPr>
          <w:rFonts w:cs="Arial"/>
          <w:szCs w:val="28"/>
        </w:rPr>
        <w:t>r</w:t>
      </w:r>
      <w:r w:rsidRPr="002D7609">
        <w:rPr>
          <w:rFonts w:cs="Arial"/>
          <w:szCs w:val="28"/>
        </w:rPr>
        <w:t>ecommendations:</w:t>
      </w:r>
      <w:r>
        <w:rPr>
          <w:rFonts w:cs="Arial"/>
          <w:szCs w:val="28"/>
        </w:rPr>
        <w:t xml:space="preserve"> </w:t>
      </w:r>
      <w:r w:rsidR="00DC180E">
        <w:rPr>
          <w:rFonts w:cs="Arial"/>
          <w:szCs w:val="28"/>
        </w:rPr>
        <w:t>We c</w:t>
      </w:r>
      <w:r w:rsidRPr="002D7609">
        <w:rPr>
          <w:rFonts w:cs="Arial"/>
          <w:szCs w:val="28"/>
        </w:rPr>
        <w:t>reated recommendations grouped by theme and ownership based on identified barriers and stakeholder input.</w:t>
      </w:r>
    </w:p>
    <w:p w14:paraId="5D38E774" w14:textId="0D824C65" w:rsidR="002D7609" w:rsidRDefault="002D7609" w:rsidP="002D7609">
      <w:pPr>
        <w:pStyle w:val="Text"/>
        <w:numPr>
          <w:ilvl w:val="0"/>
          <w:numId w:val="39"/>
        </w:numPr>
        <w:rPr>
          <w:rFonts w:cs="Arial"/>
          <w:szCs w:val="28"/>
        </w:rPr>
      </w:pPr>
      <w:r w:rsidRPr="002D7609">
        <w:rPr>
          <w:rFonts w:cs="Arial"/>
          <w:szCs w:val="28"/>
        </w:rPr>
        <w:t xml:space="preserve">Validation </w:t>
      </w:r>
      <w:r w:rsidR="00077003">
        <w:rPr>
          <w:rFonts w:cs="Arial"/>
          <w:szCs w:val="28"/>
        </w:rPr>
        <w:t>w</w:t>
      </w:r>
      <w:r w:rsidRPr="002D7609">
        <w:rPr>
          <w:rFonts w:cs="Arial"/>
          <w:szCs w:val="28"/>
        </w:rPr>
        <w:t xml:space="preserve">orkshop: </w:t>
      </w:r>
      <w:r w:rsidR="00DC180E">
        <w:rPr>
          <w:rFonts w:cs="Arial"/>
          <w:szCs w:val="28"/>
        </w:rPr>
        <w:t>We p</w:t>
      </w:r>
      <w:r w:rsidRPr="002D7609">
        <w:rPr>
          <w:rFonts w:cs="Arial"/>
          <w:szCs w:val="28"/>
        </w:rPr>
        <w:t>resented draft recommendations to stakeholders for feedback and refinement.</w:t>
      </w:r>
    </w:p>
    <w:p w14:paraId="2ED7AA55" w14:textId="6B12ED93" w:rsidR="00FF5C52" w:rsidRPr="002503EC" w:rsidRDefault="00077003" w:rsidP="002503EC">
      <w:pPr>
        <w:pStyle w:val="Text"/>
        <w:numPr>
          <w:ilvl w:val="0"/>
          <w:numId w:val="39"/>
        </w:numPr>
        <w:rPr>
          <w:rFonts w:cs="Arial"/>
          <w:szCs w:val="28"/>
        </w:rPr>
      </w:pPr>
      <w:r w:rsidRPr="002D7609">
        <w:rPr>
          <w:rFonts w:cs="Arial"/>
          <w:szCs w:val="28"/>
        </w:rPr>
        <w:t xml:space="preserve">Final </w:t>
      </w:r>
      <w:r>
        <w:rPr>
          <w:rFonts w:cs="Arial"/>
          <w:szCs w:val="28"/>
        </w:rPr>
        <w:t>r</w:t>
      </w:r>
      <w:r w:rsidRPr="002D7609">
        <w:rPr>
          <w:rFonts w:cs="Arial"/>
          <w:szCs w:val="28"/>
        </w:rPr>
        <w:t xml:space="preserve">eporting: </w:t>
      </w:r>
      <w:r w:rsidR="00DC180E">
        <w:rPr>
          <w:rFonts w:cs="Arial"/>
          <w:szCs w:val="28"/>
        </w:rPr>
        <w:t>We i</w:t>
      </w:r>
      <w:r w:rsidRPr="002D7609">
        <w:rPr>
          <w:rFonts w:cs="Arial"/>
          <w:szCs w:val="28"/>
        </w:rPr>
        <w:t>ncorporated feedback to finalise recommendations and produce the report.</w:t>
      </w:r>
    </w:p>
    <w:p w14:paraId="178C3108" w14:textId="77777777" w:rsidR="000E1923" w:rsidRPr="003532E7" w:rsidRDefault="000E1923" w:rsidP="002503EC">
      <w:pPr>
        <w:pStyle w:val="Heading1"/>
      </w:pPr>
      <w:r w:rsidRPr="003532E7">
        <w:t>3</w:t>
      </w:r>
      <w:r w:rsidRPr="003532E7">
        <w:tab/>
        <w:t>What did we find?</w:t>
      </w:r>
    </w:p>
    <w:p w14:paraId="75A431BF" w14:textId="09CF9AA9" w:rsidR="00077003" w:rsidRDefault="00E55EBF" w:rsidP="00C8142C">
      <w:pPr>
        <w:pStyle w:val="Text"/>
        <w:rPr>
          <w:rFonts w:eastAsiaTheme="minorHAnsi"/>
          <w:kern w:val="2"/>
          <w:szCs w:val="28"/>
          <w14:ligatures w14:val="standardContextual"/>
        </w:rPr>
      </w:pPr>
      <w:bookmarkStart w:id="2" w:name="_Toc176436256"/>
      <w:r w:rsidRPr="00E55EBF">
        <w:rPr>
          <w:rFonts w:eastAsiaTheme="minorHAnsi"/>
          <w:kern w:val="2"/>
          <w:szCs w:val="28"/>
          <w14:ligatures w14:val="standardContextual"/>
        </w:rPr>
        <w:t>To understand the barriers and opportunities for improving accessible transport,</w:t>
      </w:r>
      <w:r w:rsidR="00077003">
        <w:rPr>
          <w:rFonts w:eastAsiaTheme="minorHAnsi"/>
          <w:kern w:val="2"/>
          <w:szCs w:val="28"/>
          <w14:ligatures w14:val="standardContextual"/>
        </w:rPr>
        <w:t xml:space="preserve"> we</w:t>
      </w:r>
      <w:r w:rsidRPr="00E55EBF">
        <w:rPr>
          <w:rFonts w:eastAsiaTheme="minorHAnsi"/>
          <w:kern w:val="2"/>
          <w:szCs w:val="28"/>
          <w14:ligatures w14:val="standardContextual"/>
        </w:rPr>
        <w:t xml:space="preserve"> combined a review of key government guidance with direct input from those working in and affected by the transport sector. </w:t>
      </w:r>
    </w:p>
    <w:p w14:paraId="7049063C" w14:textId="5588A163" w:rsidR="00077003" w:rsidRDefault="00E55EBF" w:rsidP="00C8142C">
      <w:pPr>
        <w:pStyle w:val="Text"/>
        <w:rPr>
          <w:rFonts w:eastAsiaTheme="minorHAnsi"/>
          <w:kern w:val="2"/>
          <w:szCs w:val="28"/>
          <w14:ligatures w14:val="standardContextual"/>
        </w:rPr>
      </w:pPr>
      <w:r w:rsidRPr="00E55EBF">
        <w:rPr>
          <w:rFonts w:eastAsiaTheme="minorHAnsi"/>
          <w:kern w:val="2"/>
          <w:szCs w:val="28"/>
          <w14:ligatures w14:val="standardContextual"/>
        </w:rPr>
        <w:t>The main findings from the desktop review</w:t>
      </w:r>
      <w:r w:rsidR="00077003">
        <w:rPr>
          <w:rFonts w:eastAsiaTheme="minorHAnsi"/>
          <w:kern w:val="2"/>
          <w:szCs w:val="28"/>
          <w14:ligatures w14:val="standardContextual"/>
        </w:rPr>
        <w:t xml:space="preserve"> are summarised below:</w:t>
      </w:r>
    </w:p>
    <w:p w14:paraId="4208D127" w14:textId="3B72F691" w:rsidR="00077003" w:rsidRPr="00077003" w:rsidRDefault="00077003" w:rsidP="007471B5">
      <w:pPr>
        <w:pStyle w:val="Text"/>
        <w:numPr>
          <w:ilvl w:val="0"/>
          <w:numId w:val="33"/>
        </w:numPr>
        <w:rPr>
          <w:rFonts w:eastAsiaTheme="minorHAnsi" w:cs="Arial"/>
          <w:kern w:val="2"/>
          <w:szCs w:val="28"/>
          <w14:ligatures w14:val="standardContextual"/>
        </w:rPr>
      </w:pPr>
      <w:r w:rsidRPr="00077003">
        <w:rPr>
          <w:rFonts w:eastAsiaTheme="minorHAnsi" w:cs="Arial"/>
          <w:kern w:val="2"/>
          <w:szCs w:val="28"/>
          <w14:ligatures w14:val="standardContextual"/>
        </w:rPr>
        <w:t>There aren’t any current dedicated funds for accessibility-related improvements, resulting in conflicting priorities between transport schemes and objectives.</w:t>
      </w:r>
    </w:p>
    <w:p w14:paraId="68CF23B2" w14:textId="6C9C44D0"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Elements of the Treasury’s Five Case Model create challenges for accessibility schemes seeking funding.</w:t>
      </w:r>
    </w:p>
    <w:p w14:paraId="6D9962E4"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Getting public sector funding for the implementation of a new scheme is a long, slow, and structured process.</w:t>
      </w:r>
    </w:p>
    <w:p w14:paraId="3073AF01"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The lack of data collected on accessibility challenges is undermining the understanding of inaccessibility impacts and associated decision-making processes.</w:t>
      </w:r>
    </w:p>
    <w:p w14:paraId="610D7BAC"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Existing appraisal methods typically undervalue accessibility benefits.</w:t>
      </w:r>
    </w:p>
    <w:p w14:paraId="5D4E6C2B"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Accessibility schemes score poorly in terms of value for money.</w:t>
      </w:r>
    </w:p>
    <w:p w14:paraId="2498A309"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It is hard to learn from previous business cases due to lack of transparency.</w:t>
      </w:r>
    </w:p>
    <w:p w14:paraId="678C5F5B" w14:textId="77777777" w:rsid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Forthcoming Green Book updates could support accessibility schemes if followed through.</w:t>
      </w:r>
    </w:p>
    <w:p w14:paraId="1F11C633" w14:textId="23E21CDF" w:rsidR="00077003" w:rsidRDefault="00077003" w:rsidP="009E1F65">
      <w:pPr>
        <w:pStyle w:val="Text"/>
        <w:rPr>
          <w:rFonts w:eastAsiaTheme="minorHAnsi"/>
          <w:kern w:val="2"/>
          <w:szCs w:val="28"/>
          <w14:ligatures w14:val="standardContextual"/>
        </w:rPr>
      </w:pPr>
      <w:r w:rsidRPr="00E55EBF">
        <w:rPr>
          <w:rFonts w:eastAsiaTheme="minorHAnsi"/>
          <w:kern w:val="2"/>
          <w:szCs w:val="28"/>
          <w14:ligatures w14:val="standardContextual"/>
        </w:rPr>
        <w:t xml:space="preserve">The main findings from the </w:t>
      </w:r>
      <w:r>
        <w:rPr>
          <w:rFonts w:eastAsiaTheme="minorHAnsi"/>
          <w:kern w:val="2"/>
          <w:szCs w:val="28"/>
          <w14:ligatures w14:val="standardContextual"/>
        </w:rPr>
        <w:t>stakeholder engagement are summarised below:</w:t>
      </w:r>
    </w:p>
    <w:p w14:paraId="254E11E0"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There isn’t enough expertise and dedicated resource in organisations to develop accessibility-related business cases.</w:t>
      </w:r>
    </w:p>
    <w:p w14:paraId="3F1095F7"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Lack of leadership commitment and dedicated policies often holds back the prioritisation of accessibility-related schemes.</w:t>
      </w:r>
    </w:p>
    <w:p w14:paraId="7A560B87"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Limited and outdated evidence and data on the economic and social benefits of accessibility-related improvements make it difficult to justify investment.</w:t>
      </w:r>
    </w:p>
    <w:p w14:paraId="52054256"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There is an overemphasis on the importance of the benefit-cost ratio and value for money in funding decisions, with under-reliance on wider social value.</w:t>
      </w:r>
    </w:p>
    <w:p w14:paraId="2ECEC6AB"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The funding process for accessibility schemes is slow, uncertain, and expensive, discouraging organisations from starting business case development.</w:t>
      </w:r>
    </w:p>
    <w:p w14:paraId="1BE86335" w14:textId="67678B5A" w:rsidR="006D7B24" w:rsidRPr="00470687"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Inconsistency in the timing and depth of engagement with disabled people leads to variability in how lived experience is in</w:t>
      </w:r>
      <w:r w:rsidR="00CC7247">
        <w:rPr>
          <w:rFonts w:eastAsiaTheme="minorHAnsi"/>
          <w:kern w:val="2"/>
          <w:szCs w:val="28"/>
          <w14:ligatures w14:val="standardContextual"/>
        </w:rPr>
        <w:t>cluded</w:t>
      </w:r>
      <w:r w:rsidR="006D7B24" w:rsidRPr="00470687">
        <w:rPr>
          <w:rFonts w:eastAsiaTheme="minorHAnsi"/>
          <w:kern w:val="2"/>
          <w:szCs w:val="28"/>
          <w14:ligatures w14:val="standardContextual"/>
        </w:rPr>
        <w:t>.</w:t>
      </w:r>
    </w:p>
    <w:p w14:paraId="1DA2E187" w14:textId="10B7C885" w:rsidR="00575FD0" w:rsidRPr="00C308D9" w:rsidRDefault="0040476F" w:rsidP="007A628B">
      <w:pPr>
        <w:pStyle w:val="Heading1"/>
      </w:pPr>
      <w:bookmarkStart w:id="3" w:name="_Toc177635576"/>
      <w:bookmarkEnd w:id="2"/>
      <w:r>
        <w:t>4</w:t>
      </w:r>
      <w:r w:rsidR="00575FD0" w:rsidRPr="002B3D50">
        <w:tab/>
        <w:t>What conclusions did we come to?</w:t>
      </w:r>
      <w:bookmarkEnd w:id="3"/>
    </w:p>
    <w:p w14:paraId="4203E0CE" w14:textId="77777777" w:rsidR="0051759E" w:rsidRPr="00D7433E" w:rsidRDefault="0051759E" w:rsidP="0051759E">
      <w:pPr>
        <w:rPr>
          <w:rFonts w:cs="Arial"/>
          <w:szCs w:val="28"/>
          <w:lang w:eastAsia="en-GB"/>
        </w:rPr>
      </w:pPr>
      <w:bookmarkStart w:id="4" w:name="_Toc177635577"/>
      <w:r w:rsidRPr="00D7433E">
        <w:rPr>
          <w:rFonts w:cs="Arial"/>
          <w:szCs w:val="28"/>
          <w:lang w:eastAsia="en-GB"/>
        </w:rPr>
        <w:t>Conclusions on key barriers that public sector organisations face when creating business cases for investment in accessibility related schemes:</w:t>
      </w:r>
    </w:p>
    <w:p w14:paraId="29D41EBF" w14:textId="77777777" w:rsidR="0051759E" w:rsidRPr="00D7433E" w:rsidRDefault="0051759E" w:rsidP="0051759E">
      <w:pPr>
        <w:pStyle w:val="ListParagraph"/>
        <w:numPr>
          <w:ilvl w:val="0"/>
          <w:numId w:val="27"/>
        </w:numPr>
        <w:rPr>
          <w:rFonts w:cs="Arial"/>
          <w:szCs w:val="28"/>
          <w:lang w:eastAsia="en-GB"/>
        </w:rPr>
      </w:pPr>
      <w:r w:rsidRPr="00D7433E">
        <w:rPr>
          <w:rFonts w:cs="Arial"/>
          <w:b/>
          <w:bCs/>
          <w:szCs w:val="28"/>
          <w:lang w:eastAsia="en-GB"/>
        </w:rPr>
        <w:t>Conclusion 1:</w:t>
      </w:r>
      <w:r w:rsidRPr="00D7433E">
        <w:rPr>
          <w:rFonts w:cs="Arial"/>
          <w:szCs w:val="28"/>
          <w:lang w:eastAsia="en-GB"/>
        </w:rPr>
        <w:t xml:space="preserve"> The lack of dedicated policies and funding pots makes it harder to </w:t>
      </w:r>
      <w:r>
        <w:rPr>
          <w:rFonts w:cs="Arial"/>
          <w:szCs w:val="28"/>
          <w:lang w:eastAsia="en-GB"/>
        </w:rPr>
        <w:t>invest in</w:t>
      </w:r>
      <w:r w:rsidRPr="00D7433E">
        <w:rPr>
          <w:rFonts w:cs="Arial"/>
          <w:szCs w:val="28"/>
          <w:lang w:eastAsia="en-GB"/>
        </w:rPr>
        <w:t xml:space="preserve"> accessibility related improvements. Having </w:t>
      </w:r>
      <w:r>
        <w:rPr>
          <w:rFonts w:cs="Arial"/>
          <w:szCs w:val="28"/>
          <w:lang w:eastAsia="en-GB"/>
        </w:rPr>
        <w:t>to</w:t>
      </w:r>
      <w:r w:rsidRPr="00D7433E">
        <w:rPr>
          <w:rFonts w:cs="Arial"/>
          <w:szCs w:val="28"/>
          <w:lang w:eastAsia="en-GB"/>
        </w:rPr>
        <w:t xml:space="preserve"> compete with other priorities for the same funding, means more effort and lower possibility of success.</w:t>
      </w:r>
    </w:p>
    <w:p w14:paraId="49AC4C0B" w14:textId="77777777" w:rsidR="0051759E" w:rsidRPr="00D7433E" w:rsidRDefault="0051759E" w:rsidP="0051759E">
      <w:pPr>
        <w:pStyle w:val="ListParagraph"/>
        <w:numPr>
          <w:ilvl w:val="0"/>
          <w:numId w:val="27"/>
        </w:numPr>
        <w:rPr>
          <w:rFonts w:cs="Arial"/>
          <w:szCs w:val="28"/>
          <w:lang w:eastAsia="en-GB"/>
        </w:rPr>
      </w:pPr>
      <w:r w:rsidRPr="00D7433E">
        <w:rPr>
          <w:rFonts w:cs="Arial"/>
          <w:b/>
          <w:bCs/>
          <w:szCs w:val="28"/>
          <w:lang w:eastAsia="en-GB"/>
        </w:rPr>
        <w:t>Conclusion 2:</w:t>
      </w:r>
      <w:r w:rsidRPr="00D7433E">
        <w:rPr>
          <w:rFonts w:cs="Arial"/>
          <w:szCs w:val="28"/>
          <w:lang w:eastAsia="en-GB"/>
        </w:rPr>
        <w:t xml:space="preserve"> Getting public sector funding is a long, structured and complex process, that requires specialist skills. Many authorities don’t have enough expertise and dedicated resources to carry out accessibility related business cases. </w:t>
      </w:r>
    </w:p>
    <w:p w14:paraId="71EE26D9" w14:textId="77777777" w:rsidR="0051759E" w:rsidRPr="00D7433E" w:rsidRDefault="0051759E" w:rsidP="0051759E">
      <w:pPr>
        <w:pStyle w:val="ListParagraph"/>
        <w:numPr>
          <w:ilvl w:val="0"/>
          <w:numId w:val="27"/>
        </w:numPr>
        <w:rPr>
          <w:rFonts w:cs="Arial"/>
          <w:szCs w:val="28"/>
          <w:lang w:eastAsia="en-GB"/>
        </w:rPr>
      </w:pPr>
      <w:r w:rsidRPr="00D7433E">
        <w:rPr>
          <w:rFonts w:cs="Arial"/>
          <w:b/>
          <w:bCs/>
          <w:szCs w:val="28"/>
          <w:lang w:eastAsia="en-GB"/>
        </w:rPr>
        <w:t>Conclusion 3:</w:t>
      </w:r>
      <w:r w:rsidRPr="00D7433E">
        <w:rPr>
          <w:rFonts w:cs="Arial"/>
          <w:szCs w:val="28"/>
          <w:lang w:eastAsia="en-GB"/>
        </w:rPr>
        <w:t xml:space="preserve"> The Government’s guidance documents and tools are not fit for purpose to support authorities in creating successful accessibility related business cases. This means staff rely on specialist know-how or their own custom tools to get around this challenge.</w:t>
      </w:r>
    </w:p>
    <w:p w14:paraId="58553F67" w14:textId="1D465B96" w:rsidR="0051759E" w:rsidRPr="00D7433E" w:rsidRDefault="0051759E" w:rsidP="0051759E">
      <w:pPr>
        <w:pStyle w:val="ListParagraph"/>
        <w:numPr>
          <w:ilvl w:val="0"/>
          <w:numId w:val="27"/>
        </w:numPr>
        <w:rPr>
          <w:rFonts w:cs="Arial"/>
          <w:szCs w:val="28"/>
          <w:lang w:eastAsia="en-GB"/>
        </w:rPr>
      </w:pPr>
      <w:r w:rsidRPr="00D7433E">
        <w:rPr>
          <w:rFonts w:cs="Arial"/>
          <w:b/>
          <w:bCs/>
          <w:szCs w:val="28"/>
          <w:lang w:eastAsia="en-GB"/>
        </w:rPr>
        <w:t>Conclusion 4:</w:t>
      </w:r>
      <w:r w:rsidRPr="00D7433E">
        <w:rPr>
          <w:rFonts w:cs="Arial"/>
          <w:szCs w:val="28"/>
          <w:lang w:eastAsia="en-GB"/>
        </w:rPr>
        <w:t xml:space="preserve"> The overemphasis on the economic case is a key barrier to creating successful business cases for accessibility related schemes. Poor </w:t>
      </w:r>
      <w:r w:rsidR="00AD6F4B">
        <w:rPr>
          <w:rFonts w:cs="Arial"/>
          <w:szCs w:val="28"/>
          <w:lang w:eastAsia="en-GB"/>
        </w:rPr>
        <w:t>value for money</w:t>
      </w:r>
      <w:r w:rsidRPr="00D7433E">
        <w:rPr>
          <w:rFonts w:cs="Arial"/>
          <w:szCs w:val="28"/>
          <w:lang w:eastAsia="en-GB"/>
        </w:rPr>
        <w:t xml:space="preserve"> scores and limited ways to incorporate social benefits are among the biggest challenges.</w:t>
      </w:r>
    </w:p>
    <w:p w14:paraId="71A456BE" w14:textId="77777777" w:rsidR="0051759E" w:rsidRDefault="0051759E" w:rsidP="0051759E">
      <w:pPr>
        <w:pStyle w:val="ListParagraph"/>
        <w:numPr>
          <w:ilvl w:val="0"/>
          <w:numId w:val="27"/>
        </w:numPr>
        <w:rPr>
          <w:rFonts w:cs="Arial"/>
          <w:szCs w:val="28"/>
          <w:lang w:eastAsia="en-GB"/>
        </w:rPr>
      </w:pPr>
      <w:r w:rsidRPr="00D7433E">
        <w:rPr>
          <w:rFonts w:cs="Arial"/>
          <w:b/>
          <w:bCs/>
          <w:szCs w:val="28"/>
          <w:lang w:eastAsia="en-GB"/>
        </w:rPr>
        <w:t>Conclusion 5:</w:t>
      </w:r>
      <w:r w:rsidRPr="00D7433E">
        <w:rPr>
          <w:rFonts w:cs="Arial"/>
          <w:szCs w:val="28"/>
          <w:lang w:eastAsia="en-GB"/>
        </w:rPr>
        <w:t xml:space="preserve"> There are gaps in evidence and data on the economic and social benefits of accessibility related improvements. This is heightened by lack of transparency and knowledge sharing within and among authorities of data and best practices.</w:t>
      </w:r>
    </w:p>
    <w:p w14:paraId="2815FA29" w14:textId="5597BA24" w:rsidR="00BD6AFB" w:rsidRDefault="0040476F" w:rsidP="007A628B">
      <w:pPr>
        <w:pStyle w:val="Heading1"/>
      </w:pPr>
      <w:r>
        <w:t>5</w:t>
      </w:r>
      <w:r w:rsidR="00F240C7" w:rsidRPr="007C592F">
        <w:tab/>
      </w:r>
      <w:bookmarkEnd w:id="4"/>
      <w:r w:rsidR="00615AA8">
        <w:t xml:space="preserve">What should happen next? </w:t>
      </w:r>
    </w:p>
    <w:p w14:paraId="2DB64DC9" w14:textId="2BC6B17C" w:rsidR="004B4991" w:rsidRPr="004B4991" w:rsidRDefault="002F5308" w:rsidP="004B4991">
      <w:pPr>
        <w:rPr>
          <w:rFonts w:cs="Arial"/>
          <w:szCs w:val="28"/>
          <w:lang w:eastAsia="en-GB"/>
        </w:rPr>
      </w:pPr>
      <w:bookmarkStart w:id="5" w:name="_Toc177635579"/>
      <w:r w:rsidRPr="002F5308">
        <w:rPr>
          <w:rFonts w:cs="Arial"/>
          <w:szCs w:val="28"/>
          <w:lang w:eastAsia="en-GB"/>
        </w:rPr>
        <w:t>Five recommendations were developed to address the main challenges identified in the research. These were then reviewed and refined in a follow-up workshop with stakeholders. The recommendations below specify whether they are intended for public sector transport organisations or for the Department for Transport (DfT) and wider government</w:t>
      </w:r>
      <w:r w:rsidR="004B4991" w:rsidRPr="004B4991">
        <w:rPr>
          <w:rFonts w:cs="Arial"/>
          <w:szCs w:val="28"/>
          <w:lang w:eastAsia="en-GB"/>
        </w:rPr>
        <w:t>.</w:t>
      </w:r>
    </w:p>
    <w:p w14:paraId="2FF86114" w14:textId="77777777" w:rsidR="008701C3" w:rsidRDefault="008701C3" w:rsidP="007A628B">
      <w:pPr>
        <w:pStyle w:val="Heading2"/>
      </w:pPr>
      <w:bookmarkStart w:id="6" w:name="_Toc213311094"/>
      <w:r>
        <w:t xml:space="preserve">Recommendation 1: Embed accessibility in organisational culture through leadership, team diversity, </w:t>
      </w:r>
      <w:r w:rsidRPr="00486856">
        <w:t xml:space="preserve">general </w:t>
      </w:r>
      <w:r>
        <w:t xml:space="preserve">disability </w:t>
      </w:r>
      <w:r w:rsidRPr="00486856">
        <w:t>awareness</w:t>
      </w:r>
      <w:r>
        <w:t xml:space="preserve"> training</w:t>
      </w:r>
      <w:r w:rsidRPr="00486856">
        <w:t>, and targeted business case</w:t>
      </w:r>
      <w:r>
        <w:t xml:space="preserve"> development</w:t>
      </w:r>
      <w:r w:rsidRPr="00486856">
        <w:t xml:space="preserve"> </w:t>
      </w:r>
      <w:r w:rsidRPr="00176043">
        <w:t>training</w:t>
      </w:r>
      <w:bookmarkEnd w:id="6"/>
    </w:p>
    <w:p w14:paraId="66B1052B" w14:textId="77777777" w:rsidR="008701C3" w:rsidRDefault="008701C3" w:rsidP="008701C3">
      <w:pPr>
        <w:pStyle w:val="NormalWeb"/>
        <w:spacing w:before="0" w:after="0" w:line="276" w:lineRule="auto"/>
        <w:textAlignment w:val="baseline"/>
        <w:rPr>
          <w:rFonts w:ascii="Arial" w:hAnsi="Arial" w:cs="Arial"/>
          <w:szCs w:val="28"/>
        </w:rPr>
      </w:pPr>
      <w:r>
        <w:rPr>
          <w:rFonts w:ascii="Arial" w:hAnsi="Arial" w:cs="Arial"/>
          <w:b/>
          <w:bCs/>
          <w:szCs w:val="28"/>
        </w:rPr>
        <w:t>P</w:t>
      </w:r>
      <w:r w:rsidRPr="00546E3A">
        <w:rPr>
          <w:rFonts w:ascii="Arial" w:hAnsi="Arial" w:cs="Arial"/>
          <w:b/>
          <w:bCs/>
          <w:szCs w:val="28"/>
        </w:rPr>
        <w:t>ublic sector transport organisations</w:t>
      </w:r>
      <w:r w:rsidRPr="00EE03AD">
        <w:rPr>
          <w:rFonts w:ascii="Arial" w:hAnsi="Arial" w:cs="Arial"/>
          <w:szCs w:val="28"/>
        </w:rPr>
        <w:t xml:space="preserve"> </w:t>
      </w:r>
      <w:r w:rsidRPr="00546E3A">
        <w:rPr>
          <w:rFonts w:ascii="Arial" w:hAnsi="Arial" w:cs="Arial"/>
          <w:szCs w:val="28"/>
        </w:rPr>
        <w:t>to:</w:t>
      </w:r>
    </w:p>
    <w:p w14:paraId="302038B6" w14:textId="77777777" w:rsidR="008701C3" w:rsidRPr="0059593B" w:rsidRDefault="008701C3" w:rsidP="008701C3">
      <w:pPr>
        <w:pStyle w:val="Text"/>
        <w:numPr>
          <w:ilvl w:val="0"/>
          <w:numId w:val="28"/>
        </w:numPr>
        <w:rPr>
          <w:rFonts w:cs="Arial"/>
          <w:b/>
          <w:bCs/>
          <w:szCs w:val="28"/>
        </w:rPr>
      </w:pPr>
      <w:r w:rsidRPr="005A6C1D">
        <w:rPr>
          <w:rFonts w:eastAsia="Times New Roman" w:cs="Arial"/>
          <w:szCs w:val="28"/>
          <w:lang w:eastAsia="en-GB"/>
        </w:rPr>
        <w:t xml:space="preserve">Consider wider training and upskilling on </w:t>
      </w:r>
      <w:r>
        <w:rPr>
          <w:rFonts w:eastAsia="Times New Roman" w:cs="Arial"/>
          <w:szCs w:val="28"/>
          <w:lang w:eastAsia="en-GB"/>
        </w:rPr>
        <w:t xml:space="preserve">accessibility and </w:t>
      </w:r>
      <w:r w:rsidRPr="005A6C1D">
        <w:rPr>
          <w:rFonts w:eastAsia="Times New Roman" w:cs="Arial"/>
          <w:szCs w:val="28"/>
          <w:lang w:eastAsia="en-GB"/>
        </w:rPr>
        <w:t xml:space="preserve">inclusion </w:t>
      </w:r>
      <w:r>
        <w:rPr>
          <w:rFonts w:eastAsia="Times New Roman" w:cs="Arial"/>
          <w:szCs w:val="28"/>
          <w:lang w:eastAsia="en-GB"/>
        </w:rPr>
        <w:t>to the whole organisation staff including leaders.</w:t>
      </w:r>
    </w:p>
    <w:p w14:paraId="5F2C5BC8" w14:textId="77777777" w:rsidR="008701C3" w:rsidRPr="005A6C1D" w:rsidRDefault="008701C3" w:rsidP="008701C3">
      <w:pPr>
        <w:pStyle w:val="Text"/>
        <w:numPr>
          <w:ilvl w:val="0"/>
          <w:numId w:val="28"/>
        </w:numPr>
        <w:rPr>
          <w:rFonts w:cs="Arial"/>
          <w:b/>
          <w:bCs/>
          <w:szCs w:val="28"/>
        </w:rPr>
      </w:pPr>
      <w:r w:rsidRPr="00DF00B8">
        <w:rPr>
          <w:rFonts w:eastAsia="Times New Roman" w:cs="Arial"/>
          <w:szCs w:val="28"/>
          <w:lang w:eastAsia="en-GB"/>
        </w:rPr>
        <w:t>Provide targeted training to upskill staff in integrating accessibility into business cases</w:t>
      </w:r>
      <w:r>
        <w:rPr>
          <w:rFonts w:eastAsia="Times New Roman" w:cs="Arial"/>
          <w:szCs w:val="28"/>
          <w:lang w:eastAsia="en-GB"/>
        </w:rPr>
        <w:t xml:space="preserve"> - </w:t>
      </w:r>
      <w:r w:rsidRPr="00DF00B8">
        <w:rPr>
          <w:rFonts w:eastAsia="Times New Roman" w:cs="Arial"/>
          <w:szCs w:val="28"/>
          <w:lang w:eastAsia="en-GB"/>
        </w:rPr>
        <w:t>specifically focusing on how to appraise accessibility impacts and effectively incorporate the lived experiences of disabled people into the development process.</w:t>
      </w:r>
      <w:r>
        <w:rPr>
          <w:rFonts w:eastAsia="Times New Roman" w:cs="Arial"/>
          <w:szCs w:val="28"/>
          <w:lang w:eastAsia="en-GB"/>
        </w:rPr>
        <w:t xml:space="preserve"> Adopt a ‘lead by example’ approach where leaders consider inclusivity a core priority and are active in listening, understanding and tackling accessibility barriers.</w:t>
      </w:r>
    </w:p>
    <w:p w14:paraId="43C9F44D" w14:textId="77777777" w:rsidR="008701C3" w:rsidRDefault="008701C3" w:rsidP="008701C3">
      <w:pPr>
        <w:pStyle w:val="Text"/>
        <w:numPr>
          <w:ilvl w:val="0"/>
          <w:numId w:val="28"/>
        </w:numPr>
        <w:rPr>
          <w:rFonts w:cs="Arial"/>
          <w:szCs w:val="28"/>
        </w:rPr>
      </w:pPr>
      <w:r w:rsidRPr="005A6C1D">
        <w:rPr>
          <w:rFonts w:eastAsia="Times New Roman" w:cs="Arial"/>
          <w:szCs w:val="28"/>
          <w:lang w:eastAsia="en-GB"/>
        </w:rPr>
        <w:t>E</w:t>
      </w:r>
      <w:r>
        <w:rPr>
          <w:rFonts w:eastAsia="Times New Roman" w:cs="Arial"/>
          <w:szCs w:val="28"/>
          <w:lang w:eastAsia="en-GB"/>
        </w:rPr>
        <w:t>nsure that the number of professionals with accessibility expertise and responsibilities and their remits are appropriate for the size of the organisation</w:t>
      </w:r>
      <w:r>
        <w:rPr>
          <w:rFonts w:cs="Arial"/>
          <w:szCs w:val="28"/>
        </w:rPr>
        <w:t>.</w:t>
      </w:r>
    </w:p>
    <w:p w14:paraId="35AE1659" w14:textId="77777777" w:rsidR="008701C3" w:rsidRDefault="008701C3" w:rsidP="008701C3">
      <w:pPr>
        <w:pStyle w:val="Text"/>
        <w:numPr>
          <w:ilvl w:val="0"/>
          <w:numId w:val="28"/>
        </w:numPr>
        <w:rPr>
          <w:rFonts w:cs="Arial"/>
          <w:szCs w:val="28"/>
        </w:rPr>
      </w:pPr>
      <w:r>
        <w:rPr>
          <w:rFonts w:cs="Arial"/>
          <w:szCs w:val="28"/>
        </w:rPr>
        <w:t>Employ professionals with lived experience to embed inclusivity and diversity at the core of the organisation.</w:t>
      </w:r>
    </w:p>
    <w:p w14:paraId="729C2F24" w14:textId="77777777" w:rsidR="008701C3" w:rsidRPr="00F41228" w:rsidRDefault="008701C3" w:rsidP="008701C3">
      <w:pPr>
        <w:pStyle w:val="Text"/>
        <w:numPr>
          <w:ilvl w:val="0"/>
          <w:numId w:val="28"/>
        </w:numPr>
        <w:rPr>
          <w:rFonts w:cs="Arial"/>
          <w:szCs w:val="28"/>
        </w:rPr>
      </w:pPr>
      <w:r w:rsidRPr="00F41228">
        <w:rPr>
          <w:rFonts w:cs="Arial"/>
          <w:szCs w:val="28"/>
        </w:rPr>
        <w:t>Ensure</w:t>
      </w:r>
      <w:r w:rsidRPr="005A6C1D">
        <w:rPr>
          <w:rFonts w:eastAsia="Times New Roman" w:cs="Arial"/>
          <w:szCs w:val="28"/>
          <w:lang w:eastAsia="en-GB"/>
        </w:rPr>
        <w:t xml:space="preserve"> </w:t>
      </w:r>
      <w:r w:rsidRPr="00F41228">
        <w:rPr>
          <w:rFonts w:cs="Arial"/>
          <w:szCs w:val="28"/>
        </w:rPr>
        <w:t>teams working on business cases have the necessary understanding of accessibility and vice versa</w:t>
      </w:r>
      <w:r>
        <w:rPr>
          <w:rFonts w:cs="Arial"/>
          <w:szCs w:val="28"/>
        </w:rPr>
        <w:t>.</w:t>
      </w:r>
    </w:p>
    <w:p w14:paraId="6CC97DF9" w14:textId="77777777" w:rsidR="008701C3" w:rsidRPr="005A6C1D" w:rsidRDefault="008701C3" w:rsidP="008701C3">
      <w:pPr>
        <w:pStyle w:val="Text"/>
        <w:numPr>
          <w:ilvl w:val="0"/>
          <w:numId w:val="28"/>
        </w:numPr>
        <w:rPr>
          <w:rFonts w:cs="Arial"/>
          <w:szCs w:val="28"/>
        </w:rPr>
      </w:pPr>
      <w:r w:rsidRPr="005A6C1D">
        <w:rPr>
          <w:rFonts w:eastAsia="Times New Roman" w:cs="Arial"/>
          <w:szCs w:val="28"/>
          <w:lang w:eastAsia="en-GB"/>
        </w:rPr>
        <w:t>Ensure knowledge-sharing across all teams working on accessibility related schemes and business cases</w:t>
      </w:r>
      <w:r>
        <w:rPr>
          <w:rFonts w:eastAsia="Times New Roman" w:cs="Arial"/>
          <w:szCs w:val="28"/>
          <w:lang w:eastAsia="en-GB"/>
        </w:rPr>
        <w:t>.</w:t>
      </w:r>
    </w:p>
    <w:p w14:paraId="08F2AA14"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6073750A" w14:textId="77777777" w:rsidR="008701C3" w:rsidRDefault="008701C3" w:rsidP="008701C3">
      <w:pPr>
        <w:pStyle w:val="Text"/>
        <w:numPr>
          <w:ilvl w:val="0"/>
          <w:numId w:val="28"/>
        </w:numPr>
        <w:rPr>
          <w:rFonts w:eastAsia="Times New Roman" w:cs="Arial"/>
          <w:szCs w:val="28"/>
          <w:lang w:eastAsia="en-GB"/>
        </w:rPr>
      </w:pPr>
      <w:r w:rsidRPr="00584445">
        <w:rPr>
          <w:rFonts w:eastAsia="Times New Roman" w:cs="Arial"/>
          <w:szCs w:val="28"/>
          <w:lang w:eastAsia="en-GB"/>
        </w:rPr>
        <w:t>Develop dedicated training on</w:t>
      </w:r>
      <w:r>
        <w:rPr>
          <w:rFonts w:eastAsia="Times New Roman" w:cs="Arial"/>
          <w:szCs w:val="28"/>
          <w:lang w:eastAsia="en-GB"/>
        </w:rPr>
        <w:t>:</w:t>
      </w:r>
    </w:p>
    <w:p w14:paraId="479EC18F" w14:textId="77777777" w:rsidR="004C42DB" w:rsidRDefault="00122072" w:rsidP="008701C3">
      <w:pPr>
        <w:pStyle w:val="Text"/>
        <w:numPr>
          <w:ilvl w:val="1"/>
          <w:numId w:val="28"/>
        </w:numPr>
        <w:rPr>
          <w:rFonts w:eastAsia="Times New Roman" w:cs="Arial"/>
          <w:szCs w:val="28"/>
          <w:lang w:eastAsia="en-GB"/>
        </w:rPr>
      </w:pPr>
      <w:r w:rsidRPr="00122072">
        <w:rPr>
          <w:rFonts w:eastAsia="Times New Roman" w:cs="Arial"/>
          <w:szCs w:val="28"/>
          <w:lang w:eastAsia="en-GB"/>
        </w:rPr>
        <w:t>appraising accessibility in business cases</w:t>
      </w:r>
    </w:p>
    <w:p w14:paraId="5687239D" w14:textId="0DC131C3" w:rsidR="008701C3" w:rsidRDefault="008701C3" w:rsidP="008701C3">
      <w:pPr>
        <w:pStyle w:val="Text"/>
        <w:numPr>
          <w:ilvl w:val="1"/>
          <w:numId w:val="28"/>
        </w:numPr>
        <w:rPr>
          <w:rFonts w:eastAsia="Times New Roman" w:cs="Arial"/>
          <w:szCs w:val="28"/>
          <w:lang w:eastAsia="en-GB"/>
        </w:rPr>
      </w:pPr>
      <w:r w:rsidRPr="00584445">
        <w:rPr>
          <w:rFonts w:eastAsia="Times New Roman" w:cs="Arial"/>
          <w:szCs w:val="28"/>
          <w:lang w:eastAsia="en-GB"/>
        </w:rPr>
        <w:t>the best approach to engage and include disabled people’s lived experiences into business cases</w:t>
      </w:r>
      <w:r>
        <w:rPr>
          <w:rFonts w:eastAsia="Times New Roman" w:cs="Arial"/>
          <w:szCs w:val="28"/>
          <w:lang w:eastAsia="en-GB"/>
        </w:rPr>
        <w:t>,</w:t>
      </w:r>
    </w:p>
    <w:p w14:paraId="196E3420" w14:textId="77777777" w:rsidR="008701C3" w:rsidRDefault="008701C3" w:rsidP="008701C3">
      <w:pPr>
        <w:pStyle w:val="Text"/>
        <w:numPr>
          <w:ilvl w:val="1"/>
          <w:numId w:val="28"/>
        </w:numPr>
        <w:rPr>
          <w:rFonts w:eastAsia="Times New Roman" w:cs="Arial"/>
          <w:szCs w:val="28"/>
          <w:lang w:eastAsia="en-GB"/>
        </w:rPr>
      </w:pPr>
      <w:r>
        <w:rPr>
          <w:rFonts w:eastAsia="Times New Roman" w:cs="Arial"/>
          <w:szCs w:val="28"/>
          <w:lang w:eastAsia="en-GB"/>
        </w:rPr>
        <w:t xml:space="preserve">on </w:t>
      </w:r>
      <w:r w:rsidRPr="00584445">
        <w:rPr>
          <w:rFonts w:eastAsia="Times New Roman" w:cs="Arial"/>
          <w:szCs w:val="28"/>
          <w:lang w:eastAsia="en-GB"/>
        </w:rPr>
        <w:t>the updated Green Book.</w:t>
      </w:r>
    </w:p>
    <w:p w14:paraId="33D26D4B" w14:textId="13C4A254" w:rsidR="008701C3" w:rsidRPr="00584445" w:rsidRDefault="001D5AB3" w:rsidP="008701C3">
      <w:pPr>
        <w:pStyle w:val="Text"/>
        <w:numPr>
          <w:ilvl w:val="0"/>
          <w:numId w:val="28"/>
        </w:numPr>
        <w:rPr>
          <w:rFonts w:eastAsia="Times New Roman" w:cs="Arial"/>
          <w:szCs w:val="28"/>
          <w:lang w:eastAsia="en-GB"/>
        </w:rPr>
      </w:pPr>
      <w:r w:rsidRPr="001D5AB3">
        <w:rPr>
          <w:rFonts w:eastAsia="Times New Roman" w:cs="Arial"/>
          <w:szCs w:val="28"/>
          <w:lang w:eastAsia="en-GB"/>
        </w:rPr>
        <w:t>Update training materials, once insights are gathered from adopting the following recommendations</w:t>
      </w:r>
      <w:r>
        <w:rPr>
          <w:rFonts w:eastAsia="Times New Roman" w:cs="Arial"/>
          <w:szCs w:val="28"/>
          <w:lang w:eastAsia="en-GB"/>
        </w:rPr>
        <w:t>.</w:t>
      </w:r>
    </w:p>
    <w:p w14:paraId="2AB79C88" w14:textId="77777777" w:rsidR="008701C3" w:rsidRDefault="008701C3" w:rsidP="007A628B">
      <w:pPr>
        <w:pStyle w:val="Heading2"/>
      </w:pPr>
      <w:bookmarkStart w:id="7" w:name="_Toc213311095"/>
      <w:r w:rsidRPr="0046079A">
        <w:t xml:space="preserve">Recommendation 2: </w:t>
      </w:r>
      <w:r w:rsidRPr="00E02C50">
        <w:t>Strengthen policies, strategies, action plans and create funding mechanisms that prioritise transport accessibility</w:t>
      </w:r>
      <w:r>
        <w:t>.</w:t>
      </w:r>
      <w:bookmarkEnd w:id="7"/>
      <w:r w:rsidRPr="0046079A">
        <w:t xml:space="preserve"> </w:t>
      </w:r>
    </w:p>
    <w:p w14:paraId="60FCCF6B" w14:textId="77777777" w:rsidR="008701C3" w:rsidRDefault="008701C3" w:rsidP="008701C3">
      <w:pPr>
        <w:pStyle w:val="NormalWeb"/>
        <w:spacing w:before="0" w:after="0" w:line="276" w:lineRule="auto"/>
        <w:textAlignment w:val="baseline"/>
        <w:rPr>
          <w:rFonts w:ascii="Arial" w:hAnsi="Arial" w:cs="Arial"/>
          <w:szCs w:val="28"/>
        </w:rPr>
      </w:pPr>
      <w:r w:rsidRPr="00546E3A">
        <w:rPr>
          <w:rFonts w:ascii="Arial" w:hAnsi="Arial" w:cs="Arial"/>
          <w:b/>
          <w:bCs/>
          <w:szCs w:val="28"/>
        </w:rPr>
        <w:t>Public sector transport organisations</w:t>
      </w:r>
      <w:r w:rsidRPr="00511FD4">
        <w:rPr>
          <w:rFonts w:ascii="Arial" w:hAnsi="Arial" w:cs="Arial"/>
          <w:szCs w:val="28"/>
        </w:rPr>
        <w:t xml:space="preserve"> </w:t>
      </w:r>
      <w:r>
        <w:rPr>
          <w:rFonts w:ascii="Arial" w:hAnsi="Arial" w:cs="Arial"/>
          <w:szCs w:val="28"/>
        </w:rPr>
        <w:t>to:</w:t>
      </w:r>
    </w:p>
    <w:p w14:paraId="5DAE16AF" w14:textId="77777777" w:rsidR="008701C3" w:rsidRPr="00B87170" w:rsidRDefault="008701C3" w:rsidP="008701C3">
      <w:pPr>
        <w:pStyle w:val="Text"/>
        <w:numPr>
          <w:ilvl w:val="0"/>
          <w:numId w:val="28"/>
        </w:numPr>
        <w:rPr>
          <w:rFonts w:cs="Arial"/>
          <w:szCs w:val="28"/>
        </w:rPr>
      </w:pPr>
      <w:r w:rsidRPr="00B87170" w:rsidDel="00040023">
        <w:rPr>
          <w:rFonts w:cs="Arial"/>
          <w:szCs w:val="28"/>
        </w:rPr>
        <w:t>Create</w:t>
      </w:r>
      <w:r w:rsidRPr="00BA2777" w:rsidDel="00040023">
        <w:rPr>
          <w:rFonts w:cs="Arial"/>
          <w:szCs w:val="28"/>
        </w:rPr>
        <w:t xml:space="preserve"> stronger policies, strategies and action plans </w:t>
      </w:r>
      <w:r w:rsidRPr="00B87170">
        <w:rPr>
          <w:rFonts w:cs="Arial"/>
          <w:szCs w:val="28"/>
        </w:rPr>
        <w:t>that include a clear focus on improving transport accessibility.</w:t>
      </w:r>
    </w:p>
    <w:p w14:paraId="7AA9171B" w14:textId="77777777" w:rsidR="008701C3" w:rsidRPr="00B87170" w:rsidRDefault="008701C3" w:rsidP="008701C3">
      <w:pPr>
        <w:pStyle w:val="Text"/>
        <w:numPr>
          <w:ilvl w:val="0"/>
          <w:numId w:val="28"/>
        </w:numPr>
        <w:rPr>
          <w:rFonts w:cs="Arial"/>
          <w:szCs w:val="28"/>
        </w:rPr>
      </w:pPr>
      <w:r w:rsidRPr="376A5AF7">
        <w:rPr>
          <w:rFonts w:cs="Arial"/>
          <w:szCs w:val="28"/>
        </w:rPr>
        <w:t>Ensure Local Transport Plans contain a dedicated accessibility section that sets out the authority’s funding priorities and commitments to making transport more inclusive for disabled people.</w:t>
      </w:r>
    </w:p>
    <w:p w14:paraId="43E8575A"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436BEAF1" w14:textId="77777777" w:rsidR="008701C3" w:rsidRPr="00C05335" w:rsidRDefault="008701C3" w:rsidP="008701C3">
      <w:pPr>
        <w:pStyle w:val="BodyText"/>
        <w:numPr>
          <w:ilvl w:val="0"/>
          <w:numId w:val="29"/>
        </w:numPr>
        <w:spacing w:line="360" w:lineRule="auto"/>
        <w:rPr>
          <w:sz w:val="28"/>
          <w:szCs w:val="28"/>
        </w:rPr>
      </w:pPr>
      <w:r w:rsidRPr="00C05335">
        <w:rPr>
          <w:sz w:val="28"/>
          <w:szCs w:val="28"/>
        </w:rPr>
        <w:t xml:space="preserve">Establish a binding programme with enforceable mechanisms </w:t>
      </w:r>
      <w:r>
        <w:rPr>
          <w:sz w:val="28"/>
          <w:szCs w:val="28"/>
        </w:rPr>
        <w:t>to compel authorities and operators to invest in</w:t>
      </w:r>
      <w:r w:rsidRPr="00C05335">
        <w:rPr>
          <w:sz w:val="28"/>
          <w:szCs w:val="28"/>
        </w:rPr>
        <w:t xml:space="preserve"> accessibility in transport within the upcoming INTS.</w:t>
      </w:r>
      <w:r>
        <w:rPr>
          <w:sz w:val="28"/>
          <w:szCs w:val="28"/>
        </w:rPr>
        <w:t xml:space="preserve"> Such mechanisms could for example </w:t>
      </w:r>
      <w:r w:rsidRPr="004463C6">
        <w:rPr>
          <w:sz w:val="28"/>
          <w:szCs w:val="28"/>
        </w:rPr>
        <w:t xml:space="preserve">be built into local government transport funding settlements, e.g. Local Transport Grants, City Region Sustainable Transport Settlements, </w:t>
      </w:r>
      <w:r>
        <w:rPr>
          <w:sz w:val="28"/>
          <w:szCs w:val="28"/>
        </w:rPr>
        <w:t xml:space="preserve">or </w:t>
      </w:r>
      <w:r w:rsidRPr="004463C6">
        <w:rPr>
          <w:sz w:val="28"/>
          <w:szCs w:val="28"/>
        </w:rPr>
        <w:t>Transport for City Regions funding</w:t>
      </w:r>
      <w:r>
        <w:rPr>
          <w:sz w:val="28"/>
          <w:szCs w:val="28"/>
        </w:rPr>
        <w:t>.</w:t>
      </w:r>
    </w:p>
    <w:p w14:paraId="1E20F1D3" w14:textId="77777777" w:rsidR="008701C3" w:rsidRPr="00C05335" w:rsidRDefault="008701C3" w:rsidP="008701C3">
      <w:pPr>
        <w:pStyle w:val="BodyText"/>
        <w:numPr>
          <w:ilvl w:val="0"/>
          <w:numId w:val="29"/>
        </w:numPr>
        <w:spacing w:line="360" w:lineRule="auto"/>
        <w:rPr>
          <w:sz w:val="28"/>
          <w:szCs w:val="28"/>
        </w:rPr>
      </w:pPr>
      <w:r w:rsidRPr="00C05335">
        <w:rPr>
          <w:sz w:val="28"/>
          <w:szCs w:val="28"/>
        </w:rPr>
        <w:t>Secure funding for accessibility by adopting one of the following approaches:</w:t>
      </w:r>
    </w:p>
    <w:p w14:paraId="70E9F00F" w14:textId="77777777" w:rsidR="008701C3" w:rsidRPr="00C05335" w:rsidRDefault="008701C3" w:rsidP="008701C3">
      <w:pPr>
        <w:pStyle w:val="BodyText"/>
        <w:numPr>
          <w:ilvl w:val="1"/>
          <w:numId w:val="29"/>
        </w:numPr>
        <w:spacing w:line="360" w:lineRule="auto"/>
        <w:rPr>
          <w:sz w:val="28"/>
          <w:szCs w:val="28"/>
        </w:rPr>
      </w:pPr>
      <w:r w:rsidRPr="00C05335">
        <w:rPr>
          <w:sz w:val="28"/>
          <w:szCs w:val="28"/>
        </w:rPr>
        <w:t xml:space="preserve">Ringfencing funding for accessibility-related projects to minimise competition with other priorities, </w:t>
      </w:r>
      <w:r w:rsidRPr="00C05335">
        <w:rPr>
          <w:b/>
          <w:sz w:val="28"/>
          <w:szCs w:val="28"/>
        </w:rPr>
        <w:t>or</w:t>
      </w:r>
    </w:p>
    <w:p w14:paraId="59AB696E" w14:textId="77777777" w:rsidR="008701C3" w:rsidRPr="00543A63" w:rsidRDefault="008701C3" w:rsidP="008701C3">
      <w:pPr>
        <w:pStyle w:val="BodyText"/>
        <w:numPr>
          <w:ilvl w:val="1"/>
          <w:numId w:val="29"/>
        </w:numPr>
        <w:spacing w:line="360" w:lineRule="auto"/>
        <w:rPr>
          <w:sz w:val="28"/>
          <w:szCs w:val="28"/>
        </w:rPr>
      </w:pPr>
      <w:r w:rsidRPr="00C05335">
        <w:rPr>
          <w:sz w:val="28"/>
          <w:szCs w:val="28"/>
        </w:rPr>
        <w:t xml:space="preserve">Prioritising accessibility-related schemes for funding, </w:t>
      </w:r>
      <w:r w:rsidRPr="00543A63">
        <w:rPr>
          <w:b/>
          <w:sz w:val="28"/>
          <w:szCs w:val="28"/>
        </w:rPr>
        <w:t>or</w:t>
      </w:r>
    </w:p>
    <w:p w14:paraId="1FF89613" w14:textId="54CF3245" w:rsidR="008701C3" w:rsidRPr="00543A63" w:rsidRDefault="00DF1196" w:rsidP="008701C3">
      <w:pPr>
        <w:pStyle w:val="BodyText"/>
        <w:numPr>
          <w:ilvl w:val="1"/>
          <w:numId w:val="29"/>
        </w:numPr>
        <w:spacing w:line="360" w:lineRule="auto"/>
        <w:rPr>
          <w:sz w:val="28"/>
          <w:szCs w:val="28"/>
        </w:rPr>
      </w:pPr>
      <w:r>
        <w:rPr>
          <w:sz w:val="28"/>
          <w:szCs w:val="28"/>
        </w:rPr>
        <w:t>S</w:t>
      </w:r>
      <w:r w:rsidRPr="00DF1196">
        <w:rPr>
          <w:sz w:val="28"/>
          <w:szCs w:val="28"/>
        </w:rPr>
        <w:t>et conditions that ensure funding is given only to schemes that demonstrate accessibility improvements or inclusivity</w:t>
      </w:r>
      <w:r>
        <w:rPr>
          <w:sz w:val="28"/>
          <w:szCs w:val="28"/>
        </w:rPr>
        <w:t>.</w:t>
      </w:r>
    </w:p>
    <w:p w14:paraId="1EA22D12" w14:textId="77777777" w:rsidR="008701C3" w:rsidRDefault="008701C3" w:rsidP="008701C3">
      <w:pPr>
        <w:pStyle w:val="BodyText"/>
        <w:numPr>
          <w:ilvl w:val="0"/>
          <w:numId w:val="29"/>
        </w:numPr>
        <w:spacing w:line="360" w:lineRule="auto"/>
        <w:rPr>
          <w:sz w:val="28"/>
          <w:szCs w:val="28"/>
        </w:rPr>
      </w:pPr>
      <w:r w:rsidRPr="00543A63">
        <w:rPr>
          <w:sz w:val="28"/>
          <w:szCs w:val="28"/>
        </w:rPr>
        <w:t>If ringfencing or prioritisation cannot be achieved due to the Government’s commitment to consolidating funding pots, accessibility should still be explicitly considered within the consolidated pot.</w:t>
      </w:r>
      <w:r>
        <w:rPr>
          <w:sz w:val="28"/>
          <w:szCs w:val="28"/>
        </w:rPr>
        <w:t xml:space="preserve"> </w:t>
      </w:r>
    </w:p>
    <w:p w14:paraId="4EA7E108" w14:textId="77777777" w:rsidR="008701C3" w:rsidRPr="004814D1" w:rsidRDefault="008701C3" w:rsidP="003D5338">
      <w:pPr>
        <w:pStyle w:val="Heading2"/>
      </w:pPr>
      <w:bookmarkStart w:id="8" w:name="_Toc213311096"/>
      <w:r>
        <w:t>Recommendation 3: Increase collection and sharing of data regarding accessible transport</w:t>
      </w:r>
      <w:bookmarkEnd w:id="8"/>
      <w:r>
        <w:t xml:space="preserve"> </w:t>
      </w:r>
    </w:p>
    <w:p w14:paraId="1970D36A" w14:textId="77777777" w:rsidR="008701C3" w:rsidRDefault="008701C3" w:rsidP="008701C3">
      <w:pPr>
        <w:pStyle w:val="NormalWeb"/>
        <w:spacing w:before="0" w:after="0" w:line="276" w:lineRule="auto"/>
        <w:textAlignment w:val="baseline"/>
        <w:rPr>
          <w:rFonts w:ascii="Arial" w:hAnsi="Arial" w:cs="Arial"/>
          <w:szCs w:val="28"/>
        </w:rPr>
      </w:pPr>
      <w:r w:rsidRPr="00546E3A">
        <w:rPr>
          <w:rFonts w:ascii="Arial" w:hAnsi="Arial" w:cs="Arial"/>
          <w:b/>
          <w:bCs/>
          <w:szCs w:val="28"/>
        </w:rPr>
        <w:t xml:space="preserve">Public sector transport organisations </w:t>
      </w:r>
      <w:r>
        <w:rPr>
          <w:rFonts w:ascii="Arial" w:hAnsi="Arial" w:cs="Arial"/>
          <w:szCs w:val="28"/>
        </w:rPr>
        <w:t>to:</w:t>
      </w:r>
    </w:p>
    <w:p w14:paraId="186B4561" w14:textId="77777777" w:rsidR="008701C3" w:rsidRPr="00BA2777" w:rsidRDefault="008701C3" w:rsidP="008701C3">
      <w:pPr>
        <w:pStyle w:val="Text"/>
        <w:numPr>
          <w:ilvl w:val="0"/>
          <w:numId w:val="28"/>
        </w:numPr>
        <w:rPr>
          <w:rFonts w:cs="Arial"/>
          <w:b/>
          <w:szCs w:val="28"/>
        </w:rPr>
      </w:pPr>
      <w:r w:rsidRPr="00BA2777">
        <w:rPr>
          <w:rFonts w:eastAsia="Times New Roman" w:cs="Arial"/>
          <w:szCs w:val="28"/>
          <w:lang w:eastAsia="en-GB"/>
        </w:rPr>
        <w:t>Openly share</w:t>
      </w:r>
      <w:r w:rsidRPr="00BA2777">
        <w:rPr>
          <w:rFonts w:cs="Arial"/>
          <w:szCs w:val="28"/>
        </w:rPr>
        <w:t xml:space="preserve"> evidence and data (in line with </w:t>
      </w:r>
      <w:r>
        <w:rPr>
          <w:rFonts w:cs="Arial"/>
          <w:szCs w:val="28"/>
        </w:rPr>
        <w:t>data protection regulations</w:t>
      </w:r>
      <w:r w:rsidRPr="00BA2777">
        <w:rPr>
          <w:rFonts w:cs="Arial"/>
          <w:szCs w:val="28"/>
        </w:rPr>
        <w:t>) that will support the understanding of the economic and social benefits of accessibility</w:t>
      </w:r>
      <w:r>
        <w:rPr>
          <w:rFonts w:cs="Arial"/>
          <w:szCs w:val="28"/>
        </w:rPr>
        <w:t xml:space="preserve"> </w:t>
      </w:r>
      <w:r w:rsidRPr="00BA2777">
        <w:rPr>
          <w:rFonts w:cs="Arial"/>
          <w:szCs w:val="28"/>
        </w:rPr>
        <w:t xml:space="preserve">related schemes. </w:t>
      </w:r>
    </w:p>
    <w:p w14:paraId="665152BB" w14:textId="77777777" w:rsidR="008701C3" w:rsidRPr="00D23549" w:rsidRDefault="008701C3" w:rsidP="008701C3">
      <w:pPr>
        <w:pStyle w:val="Text"/>
        <w:numPr>
          <w:ilvl w:val="0"/>
          <w:numId w:val="28"/>
        </w:numPr>
        <w:rPr>
          <w:rFonts w:cs="Arial"/>
          <w:szCs w:val="28"/>
        </w:rPr>
      </w:pPr>
      <w:r w:rsidRPr="006E6A91">
        <w:rPr>
          <w:rFonts w:eastAsia="Times New Roman" w:cs="Arial"/>
          <w:szCs w:val="28"/>
          <w:lang w:eastAsia="en-GB"/>
        </w:rPr>
        <w:t xml:space="preserve">Openly share successful and unsuccessful business cases (including </w:t>
      </w:r>
      <w:r w:rsidRPr="00BA7447">
        <w:rPr>
          <w:rFonts w:cs="Arial"/>
          <w:szCs w:val="28"/>
        </w:rPr>
        <w:t>the</w:t>
      </w:r>
      <w:r w:rsidRPr="006E6A91">
        <w:rPr>
          <w:rFonts w:eastAsia="Times New Roman" w:cs="Arial"/>
          <w:szCs w:val="28"/>
          <w:lang w:eastAsia="en-GB"/>
        </w:rPr>
        <w:t xml:space="preserve"> engagement </w:t>
      </w:r>
      <w:r w:rsidRPr="00BA7447">
        <w:rPr>
          <w:rFonts w:cs="Arial"/>
          <w:szCs w:val="28"/>
        </w:rPr>
        <w:t xml:space="preserve">undertaken and methods adopted to assess </w:t>
      </w:r>
      <w:r>
        <w:rPr>
          <w:rFonts w:eastAsia="Times New Roman" w:cs="Arial"/>
          <w:szCs w:val="28"/>
          <w:lang w:eastAsia="en-GB"/>
        </w:rPr>
        <w:t xml:space="preserve">quantitative </w:t>
      </w:r>
      <w:r w:rsidRPr="00BA7447">
        <w:rPr>
          <w:rFonts w:cs="Arial"/>
          <w:szCs w:val="28"/>
        </w:rPr>
        <w:t>and qualitative benefits</w:t>
      </w:r>
      <w:r w:rsidRPr="006E6A91">
        <w:rPr>
          <w:rFonts w:eastAsia="Times New Roman" w:cs="Arial"/>
          <w:szCs w:val="28"/>
          <w:lang w:eastAsia="en-GB"/>
        </w:rPr>
        <w:t>) within organisation and beyond</w:t>
      </w:r>
      <w:r>
        <w:rPr>
          <w:rFonts w:eastAsia="Times New Roman" w:cs="Arial"/>
          <w:szCs w:val="28"/>
          <w:lang w:eastAsia="en-GB"/>
        </w:rPr>
        <w:t>.</w:t>
      </w:r>
    </w:p>
    <w:p w14:paraId="58DFCE7C" w14:textId="77777777" w:rsidR="008701C3" w:rsidRPr="00192CFE" w:rsidRDefault="008701C3" w:rsidP="008701C3">
      <w:pPr>
        <w:pStyle w:val="Text"/>
        <w:numPr>
          <w:ilvl w:val="0"/>
          <w:numId w:val="28"/>
        </w:numPr>
        <w:rPr>
          <w:rFonts w:cs="Arial"/>
          <w:szCs w:val="28"/>
        </w:rPr>
      </w:pPr>
      <w:r w:rsidRPr="00D23549">
        <w:rPr>
          <w:rFonts w:eastAsia="Times New Roman" w:cs="Arial"/>
          <w:szCs w:val="28"/>
          <w:lang w:eastAsia="en-GB"/>
        </w:rPr>
        <w:t>Systematically conduct monitoring and evaluation of accessibility</w:t>
      </w:r>
      <w:r>
        <w:rPr>
          <w:rFonts w:eastAsia="Times New Roman" w:cs="Arial"/>
          <w:szCs w:val="28"/>
          <w:lang w:eastAsia="en-GB"/>
        </w:rPr>
        <w:t xml:space="preserve"> </w:t>
      </w:r>
      <w:r w:rsidRPr="00D23549">
        <w:rPr>
          <w:rFonts w:eastAsia="Times New Roman" w:cs="Arial"/>
          <w:szCs w:val="28"/>
          <w:lang w:eastAsia="en-GB"/>
        </w:rPr>
        <w:t>related improvements</w:t>
      </w:r>
      <w:r>
        <w:rPr>
          <w:rFonts w:eastAsia="Times New Roman" w:cs="Arial"/>
          <w:szCs w:val="28"/>
          <w:lang w:eastAsia="en-GB"/>
        </w:rPr>
        <w:t xml:space="preserve"> to increase the availability of data and understanding of the impacts of such improvements.</w:t>
      </w:r>
    </w:p>
    <w:p w14:paraId="1D01633C" w14:textId="77777777" w:rsidR="008701C3" w:rsidRPr="00192CFE" w:rsidRDefault="008701C3" w:rsidP="008701C3">
      <w:pPr>
        <w:pStyle w:val="Text"/>
        <w:rPr>
          <w:rFonts w:cs="Arial"/>
          <w:szCs w:val="28"/>
        </w:rPr>
      </w:pPr>
      <w:r>
        <w:rPr>
          <w:rFonts w:cs="Arial"/>
          <w:szCs w:val="28"/>
        </w:rPr>
        <w:t>The Local Government Association or an industry body should consider taking the lead to develop and manage a central resource to facilitate sharing of such information.</w:t>
      </w:r>
    </w:p>
    <w:p w14:paraId="5948B5C2"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5571BFD2" w14:textId="77777777" w:rsidR="008701C3" w:rsidRPr="004E0E65" w:rsidRDefault="008701C3" w:rsidP="008701C3">
      <w:pPr>
        <w:pStyle w:val="Text"/>
        <w:numPr>
          <w:ilvl w:val="0"/>
          <w:numId w:val="28"/>
        </w:numPr>
        <w:rPr>
          <w:rFonts w:cs="Arial"/>
          <w:szCs w:val="28"/>
        </w:rPr>
      </w:pPr>
      <w:r w:rsidRPr="004E0E65">
        <w:rPr>
          <w:rFonts w:cs="Arial"/>
          <w:szCs w:val="28"/>
        </w:rPr>
        <w:t xml:space="preserve">Collect and share </w:t>
      </w:r>
      <w:r>
        <w:rPr>
          <w:rFonts w:cs="Arial"/>
          <w:szCs w:val="28"/>
        </w:rPr>
        <w:t xml:space="preserve">more </w:t>
      </w:r>
      <w:r w:rsidRPr="004E0E65">
        <w:rPr>
          <w:rFonts w:cs="Arial"/>
          <w:szCs w:val="28"/>
        </w:rPr>
        <w:t>national data through the Office for National Statistics about disabled people</w:t>
      </w:r>
      <w:r>
        <w:rPr>
          <w:rFonts w:cs="Arial"/>
          <w:szCs w:val="28"/>
        </w:rPr>
        <w:t xml:space="preserve"> and their characteristics and needs</w:t>
      </w:r>
      <w:r w:rsidRPr="004E0E65">
        <w:rPr>
          <w:rFonts w:cs="Arial"/>
          <w:szCs w:val="28"/>
        </w:rPr>
        <w:t xml:space="preserve">, </w:t>
      </w:r>
      <w:r>
        <w:rPr>
          <w:rFonts w:cs="Arial"/>
          <w:szCs w:val="28"/>
        </w:rPr>
        <w:t xml:space="preserve">their employment, </w:t>
      </w:r>
      <w:r w:rsidRPr="004E0E65">
        <w:rPr>
          <w:rFonts w:cs="Arial"/>
          <w:szCs w:val="28"/>
        </w:rPr>
        <w:t>economic potential</w:t>
      </w:r>
      <w:r>
        <w:rPr>
          <w:rFonts w:cs="Arial"/>
          <w:szCs w:val="28"/>
        </w:rPr>
        <w:t xml:space="preserve"> and their suppressed demand for transport; specifically, </w:t>
      </w:r>
      <w:r w:rsidRPr="004E0E65">
        <w:rPr>
          <w:rFonts w:cs="Arial"/>
          <w:szCs w:val="28"/>
        </w:rPr>
        <w:t xml:space="preserve">update the </w:t>
      </w:r>
      <w:r>
        <w:rPr>
          <w:rFonts w:cs="Arial"/>
          <w:szCs w:val="28"/>
        </w:rPr>
        <w:t>p</w:t>
      </w:r>
      <w:r w:rsidRPr="004E0E65">
        <w:rPr>
          <w:rFonts w:cs="Arial"/>
          <w:szCs w:val="28"/>
        </w:rPr>
        <w:t xml:space="preserve">urple </w:t>
      </w:r>
      <w:r>
        <w:rPr>
          <w:rFonts w:cs="Arial"/>
          <w:szCs w:val="28"/>
        </w:rPr>
        <w:t>p</w:t>
      </w:r>
      <w:r w:rsidRPr="004E0E65">
        <w:rPr>
          <w:rFonts w:cs="Arial"/>
          <w:szCs w:val="28"/>
        </w:rPr>
        <w:t xml:space="preserve">ound </w:t>
      </w:r>
      <w:r>
        <w:rPr>
          <w:rFonts w:cs="Arial"/>
          <w:szCs w:val="28"/>
        </w:rPr>
        <w:t xml:space="preserve">based on a government-led research study. Evaluate and share the </w:t>
      </w:r>
      <w:r w:rsidRPr="004E0E65">
        <w:rPr>
          <w:rFonts w:cs="Arial"/>
          <w:szCs w:val="28"/>
        </w:rPr>
        <w:t>socio-economic impacts of accessible transport</w:t>
      </w:r>
      <w:r>
        <w:rPr>
          <w:rFonts w:cs="Arial"/>
          <w:szCs w:val="28"/>
        </w:rPr>
        <w:t>, splitting according to different modal, infrastructure, service or digital improvements</w:t>
      </w:r>
      <w:r w:rsidRPr="004E0E65">
        <w:rPr>
          <w:rFonts w:cs="Arial"/>
          <w:szCs w:val="28"/>
        </w:rPr>
        <w:t>.</w:t>
      </w:r>
    </w:p>
    <w:p w14:paraId="07D8CE28" w14:textId="77777777" w:rsidR="008701C3" w:rsidRPr="00192CFE" w:rsidRDefault="008701C3" w:rsidP="008701C3">
      <w:pPr>
        <w:pStyle w:val="Text"/>
        <w:numPr>
          <w:ilvl w:val="0"/>
          <w:numId w:val="28"/>
        </w:numPr>
        <w:rPr>
          <w:rFonts w:cs="Arial"/>
          <w:szCs w:val="28"/>
        </w:rPr>
      </w:pPr>
      <w:r w:rsidRPr="00BA7447">
        <w:rPr>
          <w:rFonts w:cs="Arial"/>
          <w:szCs w:val="28"/>
        </w:rPr>
        <w:t>Provide a tailored monitoring and evaluation framework for accessibility improvements to encourage systematic monitoring and evaluation activities</w:t>
      </w:r>
      <w:r>
        <w:rPr>
          <w:rFonts w:cs="Arial"/>
          <w:szCs w:val="28"/>
        </w:rPr>
        <w:t>, including of the socio-economic impacts.</w:t>
      </w:r>
    </w:p>
    <w:p w14:paraId="23699978" w14:textId="77777777" w:rsidR="008701C3" w:rsidRPr="006E6A91" w:rsidRDefault="008701C3" w:rsidP="008701C3">
      <w:pPr>
        <w:pStyle w:val="Text"/>
        <w:numPr>
          <w:ilvl w:val="0"/>
          <w:numId w:val="28"/>
        </w:numPr>
        <w:rPr>
          <w:rFonts w:cs="Arial"/>
          <w:szCs w:val="28"/>
        </w:rPr>
      </w:pPr>
      <w:r>
        <w:rPr>
          <w:rFonts w:cs="Arial"/>
          <w:szCs w:val="28"/>
        </w:rPr>
        <w:t>Set up mechanisms to monitor accessible transport barriers (physical, digital, emotional or contextual) and improvements over time for accountability and continuous progress including customer feedback. Aim to link reduction in barriers with increase in improvements.</w:t>
      </w:r>
    </w:p>
    <w:p w14:paraId="25314844" w14:textId="77777777" w:rsidR="008701C3" w:rsidRDefault="008701C3" w:rsidP="008701C3">
      <w:pPr>
        <w:pStyle w:val="Text"/>
        <w:numPr>
          <w:ilvl w:val="0"/>
          <w:numId w:val="28"/>
        </w:numPr>
        <w:rPr>
          <w:rFonts w:cs="Arial"/>
          <w:szCs w:val="28"/>
        </w:rPr>
      </w:pPr>
      <w:r>
        <w:rPr>
          <w:rFonts w:cs="Arial"/>
          <w:szCs w:val="28"/>
        </w:rPr>
        <w:t>Consider developing more accessible transport related scorecards ensuring the customer experience, the physical infrastructure, the transport services and vehicles, the digital environment and the holistic door-to-door journeys are assessed for their accessibility and inclusivity.</w:t>
      </w:r>
    </w:p>
    <w:p w14:paraId="6EAE30F7" w14:textId="77777777" w:rsidR="008701C3" w:rsidRPr="00BA7447" w:rsidRDefault="008701C3" w:rsidP="008701C3">
      <w:pPr>
        <w:pStyle w:val="Text"/>
        <w:numPr>
          <w:ilvl w:val="0"/>
          <w:numId w:val="28"/>
        </w:numPr>
        <w:rPr>
          <w:rFonts w:cs="Arial"/>
          <w:szCs w:val="28"/>
        </w:rPr>
      </w:pPr>
      <w:r>
        <w:rPr>
          <w:rFonts w:cs="Arial"/>
          <w:szCs w:val="28"/>
        </w:rPr>
        <w:t>Set up an o</w:t>
      </w:r>
      <w:r w:rsidRPr="00BA7447">
        <w:rPr>
          <w:rFonts w:cs="Arial"/>
          <w:szCs w:val="28"/>
        </w:rPr>
        <w:t xml:space="preserve">pen access repository for business cases and approaches to develop them (including the engagement undertaken and methods adopted to assess quantitative and qualitative benefits). </w:t>
      </w:r>
      <w:r>
        <w:rPr>
          <w:rFonts w:cs="Arial"/>
          <w:szCs w:val="28"/>
        </w:rPr>
        <w:t>E</w:t>
      </w:r>
      <w:r w:rsidRPr="00BA7447">
        <w:rPr>
          <w:rFonts w:cs="Arial"/>
          <w:szCs w:val="28"/>
        </w:rPr>
        <w:t>ncourage (or enforce) sharing of these.</w:t>
      </w:r>
    </w:p>
    <w:p w14:paraId="2B9972E3" w14:textId="77777777" w:rsidR="008701C3" w:rsidRDefault="008701C3" w:rsidP="003D5338">
      <w:pPr>
        <w:pStyle w:val="Heading2"/>
      </w:pPr>
      <w:bookmarkStart w:id="9" w:name="_Toc213311097"/>
      <w:r w:rsidRPr="00A80DB8">
        <w:t xml:space="preserve">Recommendation </w:t>
      </w:r>
      <w:r>
        <w:t>4</w:t>
      </w:r>
      <w:r w:rsidRPr="00A80DB8">
        <w:t xml:space="preserve">: </w:t>
      </w:r>
      <w:r>
        <w:t xml:space="preserve">Strengthen </w:t>
      </w:r>
      <w:r w:rsidRPr="00A80DB8">
        <w:t>appraisal of accessibility in business cases</w:t>
      </w:r>
      <w:r>
        <w:t xml:space="preserve"> through consideration of lived experiences and better assessment of accessibility benefits</w:t>
      </w:r>
      <w:bookmarkEnd w:id="9"/>
    </w:p>
    <w:p w14:paraId="38D92B62" w14:textId="77777777" w:rsidR="008701C3" w:rsidRPr="00E923EC" w:rsidRDefault="008701C3" w:rsidP="008701C3">
      <w:pPr>
        <w:pStyle w:val="NormalWeb"/>
        <w:spacing w:before="0" w:after="0" w:line="276" w:lineRule="auto"/>
        <w:textAlignment w:val="baseline"/>
        <w:rPr>
          <w:rFonts w:ascii="Arial" w:hAnsi="Arial" w:cs="Arial"/>
          <w:b/>
          <w:bCs/>
          <w:szCs w:val="28"/>
        </w:rPr>
      </w:pPr>
      <w:r w:rsidRPr="00CF09F0">
        <w:rPr>
          <w:rFonts w:ascii="Arial" w:hAnsi="Arial" w:cs="Arial"/>
          <w:b/>
          <w:bCs/>
          <w:szCs w:val="28"/>
        </w:rPr>
        <w:t>All</w:t>
      </w:r>
      <w:r w:rsidRPr="00E923EC">
        <w:rPr>
          <w:rFonts w:ascii="Arial" w:hAnsi="Arial" w:cs="Arial"/>
          <w:b/>
          <w:bCs/>
          <w:szCs w:val="28"/>
        </w:rPr>
        <w:t xml:space="preserve"> </w:t>
      </w:r>
      <w:r w:rsidRPr="00E923EC">
        <w:rPr>
          <w:rFonts w:ascii="Arial" w:hAnsi="Arial" w:cs="Arial"/>
          <w:szCs w:val="28"/>
        </w:rPr>
        <w:t>to:</w:t>
      </w:r>
    </w:p>
    <w:p w14:paraId="7E621BED" w14:textId="77777777" w:rsidR="008701C3" w:rsidRPr="006E5976" w:rsidRDefault="008701C3" w:rsidP="008701C3">
      <w:pPr>
        <w:pStyle w:val="Text"/>
        <w:numPr>
          <w:ilvl w:val="0"/>
          <w:numId w:val="28"/>
        </w:numPr>
        <w:rPr>
          <w:rFonts w:cs="Arial"/>
          <w:szCs w:val="28"/>
        </w:rPr>
      </w:pPr>
      <w:r>
        <w:rPr>
          <w:rFonts w:cs="Arial"/>
          <w:szCs w:val="28"/>
        </w:rPr>
        <w:t xml:space="preserve">Use the new data collected and shared as per </w:t>
      </w:r>
      <w:r w:rsidRPr="00003E15">
        <w:rPr>
          <w:rFonts w:cs="Arial"/>
          <w:b/>
          <w:bCs/>
          <w:szCs w:val="28"/>
        </w:rPr>
        <w:t>Recommendation 3</w:t>
      </w:r>
      <w:r>
        <w:rPr>
          <w:rFonts w:cs="Arial"/>
          <w:szCs w:val="28"/>
        </w:rPr>
        <w:t xml:space="preserve"> to e</w:t>
      </w:r>
      <w:r w:rsidRPr="00694FC5">
        <w:rPr>
          <w:rFonts w:cs="Arial"/>
          <w:szCs w:val="28"/>
        </w:rPr>
        <w:t>xplicitly link accessibility improvements to wider social and economic outcomes</w:t>
      </w:r>
      <w:r>
        <w:rPr>
          <w:rFonts w:cs="Arial"/>
          <w:szCs w:val="28"/>
        </w:rPr>
        <w:t>.</w:t>
      </w:r>
    </w:p>
    <w:p w14:paraId="14D63E53" w14:textId="77777777" w:rsidR="008701C3" w:rsidRDefault="008701C3" w:rsidP="008701C3">
      <w:pPr>
        <w:pStyle w:val="NormalWeb"/>
        <w:spacing w:before="0" w:after="0" w:line="276" w:lineRule="auto"/>
        <w:textAlignment w:val="baseline"/>
        <w:rPr>
          <w:rFonts w:ascii="Arial" w:hAnsi="Arial" w:cs="Arial"/>
          <w:szCs w:val="28"/>
        </w:rPr>
      </w:pPr>
      <w:r w:rsidRPr="00546E3A">
        <w:rPr>
          <w:rFonts w:ascii="Arial" w:hAnsi="Arial" w:cs="Arial"/>
          <w:b/>
          <w:bCs/>
          <w:szCs w:val="28"/>
        </w:rPr>
        <w:t xml:space="preserve">Public sector transport organisations </w:t>
      </w:r>
      <w:r>
        <w:rPr>
          <w:rFonts w:ascii="Arial" w:hAnsi="Arial" w:cs="Arial"/>
          <w:szCs w:val="28"/>
        </w:rPr>
        <w:t>to:</w:t>
      </w:r>
    </w:p>
    <w:p w14:paraId="7A21A6ED" w14:textId="77777777" w:rsidR="008701C3" w:rsidRPr="00D00D7F" w:rsidRDefault="008701C3" w:rsidP="008701C3">
      <w:pPr>
        <w:pStyle w:val="Text"/>
        <w:numPr>
          <w:ilvl w:val="0"/>
          <w:numId w:val="28"/>
        </w:numPr>
        <w:rPr>
          <w:rFonts w:cs="Arial"/>
          <w:szCs w:val="28"/>
        </w:rPr>
      </w:pPr>
      <w:r>
        <w:rPr>
          <w:rFonts w:cs="Arial"/>
          <w:szCs w:val="28"/>
        </w:rPr>
        <w:t>S</w:t>
      </w:r>
      <w:r w:rsidRPr="00D00D7F">
        <w:rPr>
          <w:rFonts w:cs="Arial"/>
          <w:szCs w:val="28"/>
        </w:rPr>
        <w:t xml:space="preserve">et up engagement practices with disabled people which are systematic, consistent, </w:t>
      </w:r>
      <w:r>
        <w:rPr>
          <w:rFonts w:cs="Arial"/>
          <w:szCs w:val="28"/>
        </w:rPr>
        <w:t xml:space="preserve">start early in the business case process and are </w:t>
      </w:r>
      <w:r w:rsidRPr="00D00D7F">
        <w:rPr>
          <w:rFonts w:cs="Arial"/>
          <w:szCs w:val="28"/>
        </w:rPr>
        <w:t>based on co-production standards and takes into consideration the variety of accessibility needs</w:t>
      </w:r>
      <w:r>
        <w:rPr>
          <w:rFonts w:cs="Arial"/>
          <w:szCs w:val="28"/>
        </w:rPr>
        <w:t>. Engagement methods and intensity should be suitable to the scope of the project to avoid fatigue from stakeholders (for instance, deciding between access panel or engagement with a range of disabled people organisations).</w:t>
      </w:r>
    </w:p>
    <w:p w14:paraId="780DDBD0"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46B6B55F" w14:textId="77777777" w:rsidR="008701C3" w:rsidRPr="004814D1" w:rsidRDefault="008701C3" w:rsidP="008701C3">
      <w:pPr>
        <w:pStyle w:val="Text"/>
        <w:numPr>
          <w:ilvl w:val="0"/>
          <w:numId w:val="28"/>
        </w:numPr>
        <w:rPr>
          <w:rFonts w:cs="Arial"/>
          <w:szCs w:val="28"/>
        </w:rPr>
      </w:pPr>
      <w:r>
        <w:rPr>
          <w:rFonts w:cs="Arial"/>
          <w:szCs w:val="28"/>
        </w:rPr>
        <w:t>I</w:t>
      </w:r>
      <w:r w:rsidRPr="004814D1">
        <w:rPr>
          <w:rFonts w:cs="Arial"/>
          <w:szCs w:val="28"/>
        </w:rPr>
        <w:t>ntroduce structured methods to capture benefits to quality of life as a result of accessibility improvements</w:t>
      </w:r>
      <w:r>
        <w:rPr>
          <w:rFonts w:cs="Arial"/>
          <w:szCs w:val="28"/>
        </w:rPr>
        <w:t>.</w:t>
      </w:r>
    </w:p>
    <w:p w14:paraId="6A58CC42" w14:textId="77777777" w:rsidR="008701C3" w:rsidRDefault="008701C3" w:rsidP="008701C3">
      <w:pPr>
        <w:pStyle w:val="Text"/>
        <w:numPr>
          <w:ilvl w:val="0"/>
          <w:numId w:val="28"/>
        </w:numPr>
        <w:rPr>
          <w:rFonts w:cs="Arial"/>
          <w:szCs w:val="28"/>
        </w:rPr>
      </w:pPr>
      <w:r>
        <w:rPr>
          <w:rFonts w:cs="Arial"/>
          <w:szCs w:val="28"/>
        </w:rPr>
        <w:t>E</w:t>
      </w:r>
      <w:r w:rsidRPr="004814D1">
        <w:rPr>
          <w:rFonts w:cs="Arial"/>
          <w:szCs w:val="28"/>
        </w:rPr>
        <w:t xml:space="preserve">xpand appraisal methods to better capture accessibility benefits, </w:t>
      </w:r>
      <w:r>
        <w:rPr>
          <w:rFonts w:cs="Arial"/>
          <w:szCs w:val="28"/>
        </w:rPr>
        <w:t>considering the entire travel ecosystem including improvements to infrastructure (</w:t>
      </w:r>
      <w:r w:rsidRPr="004814D1">
        <w:rPr>
          <w:rFonts w:cs="Arial"/>
          <w:szCs w:val="28"/>
        </w:rPr>
        <w:t>wayfinding, seating, shelter, and step-free access</w:t>
      </w:r>
      <w:r>
        <w:rPr>
          <w:rFonts w:cs="Arial"/>
          <w:szCs w:val="28"/>
        </w:rPr>
        <w:t>), services (induction loops in vehicles, travel assistance) and to the digital experience (accessible apps).</w:t>
      </w:r>
    </w:p>
    <w:p w14:paraId="6BA0FC81" w14:textId="77777777" w:rsidR="008701C3" w:rsidRPr="004677C6" w:rsidRDefault="008701C3" w:rsidP="008701C3">
      <w:pPr>
        <w:pStyle w:val="Text"/>
        <w:numPr>
          <w:ilvl w:val="0"/>
          <w:numId w:val="28"/>
        </w:numPr>
        <w:rPr>
          <w:rFonts w:cs="Arial"/>
          <w:szCs w:val="28"/>
        </w:rPr>
      </w:pPr>
      <w:r w:rsidRPr="00694FC5">
        <w:rPr>
          <w:rFonts w:cs="Arial"/>
          <w:szCs w:val="28"/>
        </w:rPr>
        <w:t>Improve the assessment</w:t>
      </w:r>
      <w:r>
        <w:rPr>
          <w:rFonts w:cs="Arial"/>
          <w:szCs w:val="28"/>
        </w:rPr>
        <w:t xml:space="preserve"> methodology</w:t>
      </w:r>
      <w:r w:rsidRPr="00694FC5">
        <w:rPr>
          <w:rFonts w:cs="Arial"/>
          <w:szCs w:val="28"/>
        </w:rPr>
        <w:t xml:space="preserve"> of the monetised benefits of accessibility</w:t>
      </w:r>
      <w:r>
        <w:rPr>
          <w:rFonts w:cs="Arial"/>
          <w:szCs w:val="28"/>
        </w:rPr>
        <w:t xml:space="preserve"> based on new data available as per </w:t>
      </w:r>
      <w:r w:rsidRPr="00DC0336">
        <w:rPr>
          <w:rFonts w:cs="Arial"/>
          <w:b/>
          <w:bCs/>
          <w:szCs w:val="28"/>
        </w:rPr>
        <w:t>Recommendation 3.</w:t>
      </w:r>
      <w:r>
        <w:rPr>
          <w:rFonts w:cs="Arial"/>
          <w:szCs w:val="28"/>
        </w:rPr>
        <w:t xml:space="preserve"> </w:t>
      </w:r>
    </w:p>
    <w:p w14:paraId="1A03DCB9" w14:textId="77777777" w:rsidR="008701C3" w:rsidRDefault="008701C3" w:rsidP="003D5338">
      <w:pPr>
        <w:pStyle w:val="Heading2"/>
      </w:pPr>
      <w:bookmarkStart w:id="10" w:name="_Toc213311098"/>
      <w:r w:rsidRPr="00A80DB8">
        <w:t xml:space="preserve">Recommendation </w:t>
      </w:r>
      <w:r>
        <w:t>5</w:t>
      </w:r>
      <w:r w:rsidRPr="00A80DB8">
        <w:t>:</w:t>
      </w:r>
      <w:r>
        <w:t xml:space="preserve"> Ensure updated Green Book and other guidance documents support authorities and transport organisations develop strong accessibility related business cases and facilitate their access to funding</w:t>
      </w:r>
      <w:bookmarkEnd w:id="10"/>
    </w:p>
    <w:p w14:paraId="2137626D"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64C7B26F" w14:textId="77777777" w:rsidR="008701C3" w:rsidRPr="00694FC5" w:rsidRDefault="008701C3" w:rsidP="008701C3">
      <w:pPr>
        <w:pStyle w:val="Text"/>
        <w:numPr>
          <w:ilvl w:val="0"/>
          <w:numId w:val="28"/>
        </w:numPr>
        <w:rPr>
          <w:rFonts w:cs="Arial"/>
          <w:szCs w:val="28"/>
        </w:rPr>
      </w:pPr>
      <w:r w:rsidRPr="00694FC5">
        <w:rPr>
          <w:rFonts w:cs="Arial"/>
          <w:szCs w:val="28"/>
        </w:rPr>
        <w:t xml:space="preserve">Integrate the methods mentioned </w:t>
      </w:r>
      <w:r>
        <w:rPr>
          <w:rFonts w:cs="Arial"/>
          <w:szCs w:val="28"/>
        </w:rPr>
        <w:t xml:space="preserve">in </w:t>
      </w:r>
      <w:r w:rsidRPr="002028E8">
        <w:rPr>
          <w:rFonts w:cs="Arial"/>
          <w:b/>
          <w:bCs/>
          <w:szCs w:val="28"/>
        </w:rPr>
        <w:t>Recommendation 4</w:t>
      </w:r>
      <w:r>
        <w:rPr>
          <w:rFonts w:cs="Arial"/>
          <w:szCs w:val="28"/>
        </w:rPr>
        <w:t xml:space="preserve"> </w:t>
      </w:r>
      <w:r w:rsidRPr="00694FC5">
        <w:rPr>
          <w:rFonts w:cs="Arial"/>
          <w:szCs w:val="28"/>
        </w:rPr>
        <w:t>as standard practice into</w:t>
      </w:r>
      <w:r>
        <w:rPr>
          <w:rFonts w:cs="Arial"/>
          <w:szCs w:val="28"/>
        </w:rPr>
        <w:t xml:space="preserve"> the</w:t>
      </w:r>
      <w:r w:rsidRPr="00694FC5">
        <w:rPr>
          <w:rFonts w:cs="Arial"/>
          <w:szCs w:val="28"/>
        </w:rPr>
        <w:t xml:space="preserve"> TAG</w:t>
      </w:r>
      <w:r>
        <w:rPr>
          <w:rFonts w:cs="Arial"/>
          <w:szCs w:val="28"/>
        </w:rPr>
        <w:t>.</w:t>
      </w:r>
    </w:p>
    <w:p w14:paraId="5C152710" w14:textId="77777777" w:rsidR="008701C3" w:rsidRDefault="008701C3" w:rsidP="008701C3">
      <w:pPr>
        <w:pStyle w:val="Text"/>
        <w:numPr>
          <w:ilvl w:val="0"/>
          <w:numId w:val="28"/>
        </w:numPr>
        <w:rPr>
          <w:rFonts w:cs="Arial"/>
          <w:szCs w:val="28"/>
        </w:rPr>
      </w:pPr>
      <w:r w:rsidRPr="00694FC5">
        <w:rPr>
          <w:rFonts w:cs="Arial"/>
          <w:szCs w:val="28"/>
        </w:rPr>
        <w:t>Strengthen the importance of the strategic narrative and qualitative assessment within the business case</w:t>
      </w:r>
      <w:r>
        <w:rPr>
          <w:rFonts w:cs="Arial"/>
          <w:szCs w:val="28"/>
        </w:rPr>
        <w:t>.</w:t>
      </w:r>
    </w:p>
    <w:p w14:paraId="32886961" w14:textId="77777777" w:rsidR="008701C3" w:rsidRPr="00694FC5" w:rsidRDefault="008701C3" w:rsidP="008701C3">
      <w:pPr>
        <w:pStyle w:val="Text"/>
        <w:numPr>
          <w:ilvl w:val="0"/>
          <w:numId w:val="28"/>
        </w:numPr>
        <w:rPr>
          <w:rFonts w:cs="Arial"/>
          <w:szCs w:val="28"/>
        </w:rPr>
      </w:pPr>
      <w:r>
        <w:rPr>
          <w:rFonts w:cs="Arial"/>
          <w:szCs w:val="28"/>
        </w:rPr>
        <w:t>Enhance each of the Treasury’s Five Cases to ensure specificities of accessibility are catered for.</w:t>
      </w:r>
    </w:p>
    <w:p w14:paraId="363F7C8A" w14:textId="77777777" w:rsidR="008701C3" w:rsidRPr="00694FC5" w:rsidRDefault="008701C3" w:rsidP="008701C3">
      <w:pPr>
        <w:pStyle w:val="Text"/>
        <w:numPr>
          <w:ilvl w:val="0"/>
          <w:numId w:val="28"/>
        </w:numPr>
        <w:rPr>
          <w:rFonts w:cs="Arial"/>
          <w:szCs w:val="28"/>
        </w:rPr>
      </w:pPr>
      <w:r w:rsidRPr="004F783A">
        <w:rPr>
          <w:rFonts w:cs="Arial"/>
          <w:szCs w:val="28"/>
        </w:rPr>
        <w:t>Clarify how accessibility outcomes should be weighted alongside other investment objectives and provide guidance on avoiding double counting, recognising that impacts for disabled people are already partially captured in existing appraisal components (e.g., user benefits) and any new technique must include adjustments to prevent overlap.</w:t>
      </w:r>
    </w:p>
    <w:p w14:paraId="3C998CDB" w14:textId="77777777" w:rsidR="008701C3" w:rsidRPr="00694FC5" w:rsidRDefault="008701C3" w:rsidP="008701C3">
      <w:pPr>
        <w:pStyle w:val="Text"/>
        <w:numPr>
          <w:ilvl w:val="0"/>
          <w:numId w:val="28"/>
        </w:numPr>
        <w:rPr>
          <w:rFonts w:cs="Arial"/>
          <w:szCs w:val="28"/>
        </w:rPr>
      </w:pPr>
      <w:r w:rsidRPr="00694FC5">
        <w:rPr>
          <w:rFonts w:cs="Arial"/>
          <w:szCs w:val="28"/>
        </w:rPr>
        <w:t>Recognise accessibility benefits as material and not merely ‘additional’ or ‘nice to have’</w:t>
      </w:r>
      <w:r>
        <w:rPr>
          <w:rFonts w:cs="Arial"/>
          <w:szCs w:val="28"/>
        </w:rPr>
        <w:t>.</w:t>
      </w:r>
    </w:p>
    <w:p w14:paraId="69BD756A" w14:textId="77777777" w:rsidR="008701C3" w:rsidRPr="000176D4" w:rsidRDefault="008701C3" w:rsidP="008701C3">
      <w:pPr>
        <w:pStyle w:val="Text"/>
        <w:numPr>
          <w:ilvl w:val="0"/>
          <w:numId w:val="28"/>
        </w:numPr>
        <w:rPr>
          <w:rFonts w:cs="Arial"/>
          <w:szCs w:val="28"/>
        </w:rPr>
      </w:pPr>
      <w:r>
        <w:rPr>
          <w:rFonts w:cs="Arial"/>
          <w:szCs w:val="28"/>
        </w:rPr>
        <w:t>E</w:t>
      </w:r>
      <w:r w:rsidRPr="000176D4">
        <w:rPr>
          <w:rFonts w:cs="Arial"/>
          <w:szCs w:val="28"/>
        </w:rPr>
        <w:t xml:space="preserve">nsure the proportionality </w:t>
      </w:r>
      <w:r>
        <w:rPr>
          <w:rFonts w:cs="Arial"/>
          <w:szCs w:val="28"/>
        </w:rPr>
        <w:t xml:space="preserve">approach of the Green Book and TAG is </w:t>
      </w:r>
      <w:r w:rsidRPr="000176D4">
        <w:rPr>
          <w:rFonts w:cs="Arial"/>
          <w:szCs w:val="28"/>
        </w:rPr>
        <w:t>applied by decision-makers</w:t>
      </w:r>
      <w:r>
        <w:rPr>
          <w:rFonts w:cs="Arial"/>
          <w:szCs w:val="28"/>
        </w:rPr>
        <w:t xml:space="preserve"> and c</w:t>
      </w:r>
      <w:r w:rsidRPr="000176D4">
        <w:rPr>
          <w:rFonts w:cs="Arial"/>
          <w:szCs w:val="28"/>
        </w:rPr>
        <w:t xml:space="preserve">onsider simplifying the process leading to funding award for smaller projects. </w:t>
      </w:r>
    </w:p>
    <w:p w14:paraId="7141E15D" w14:textId="25241149" w:rsidR="000D7B9B" w:rsidRPr="00F44B30" w:rsidRDefault="0040476F" w:rsidP="003D5338">
      <w:pPr>
        <w:pStyle w:val="Heading1"/>
      </w:pPr>
      <w:r>
        <w:t>6</w:t>
      </w:r>
      <w:r w:rsidR="000D7B9B" w:rsidRPr="003532E7">
        <w:t xml:space="preserve"> </w:t>
      </w:r>
      <w:r w:rsidR="000D7B9B" w:rsidRPr="003532E7">
        <w:tab/>
      </w:r>
      <w:r w:rsidR="000D7B9B" w:rsidRPr="00F44B30">
        <w:t>About ncat</w:t>
      </w:r>
      <w:bookmarkEnd w:id="5"/>
    </w:p>
    <w:p w14:paraId="2F832632" w14:textId="77777777" w:rsidR="00D23032" w:rsidRPr="00D23032" w:rsidRDefault="00D23032" w:rsidP="00D23032">
      <w:pPr>
        <w:spacing w:before="240"/>
        <w:rPr>
          <w:rFonts w:eastAsia="Calibri" w:cs="Arial"/>
          <w:kern w:val="0"/>
          <w:szCs w:val="28"/>
          <w14:ligatures w14:val="none"/>
        </w:rPr>
      </w:pPr>
      <w:bookmarkStart w:id="11" w:name="_Toc177635580"/>
      <w:r w:rsidRPr="00D23032">
        <w:rPr>
          <w:rFonts w:eastAsia="Calibri" w:cs="Arial"/>
          <w:kern w:val="0"/>
          <w:szCs w:val="28"/>
          <w14:ligatures w14:val="none"/>
        </w:rPr>
        <w:t>The National Centre for Accessible Transport (ncat) works as an Evidence Centre developing high quality evidence, best practice, and innovative solutions to inform future disability and transport strategy, policy, and practice by:</w:t>
      </w:r>
    </w:p>
    <w:p w14:paraId="1D5A6D66"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Engaging with disabled people to better understand their experiences and co-design solutions</w:t>
      </w:r>
    </w:p>
    <w:p w14:paraId="312394A2"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Amplifying the voices of disabled people in all decision making</w:t>
      </w:r>
    </w:p>
    <w:p w14:paraId="3D09D5A1"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Collaborating widely with all transport stakeholders</w:t>
      </w:r>
    </w:p>
    <w:p w14:paraId="3D5565F8"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Demonstrating good practice and impact to influence policy</w:t>
      </w:r>
    </w:p>
    <w:p w14:paraId="69F1E938" w14:textId="77777777" w:rsidR="00CE0A0E" w:rsidRDefault="007B0EF6" w:rsidP="007B0EF6">
      <w:pPr>
        <w:spacing w:before="240"/>
        <w:rPr>
          <w:rFonts w:eastAsia="Calibri" w:cs="Calibri"/>
          <w:kern w:val="0"/>
          <w14:ligatures w14:val="none"/>
        </w:rPr>
      </w:pPr>
      <w:r w:rsidRPr="00F44B30">
        <w:rPr>
          <w:rFonts w:eastAsia="Calibri" w:cs="Calibri"/>
          <w:kern w:val="0"/>
          <w14:ligatures w14:val="none"/>
        </w:rPr>
        <w:t xml:space="preserve">ncat is delivered by a consortium of organisations that includes Coventry University, Policy Connect, The Research Institute for Disabled Consumers (RiDC), Designability, Connected Places Catapult, and WSP. </w:t>
      </w:r>
    </w:p>
    <w:p w14:paraId="1035A4D4" w14:textId="7A174653" w:rsidR="007B0EF6" w:rsidRDefault="001D0C2C" w:rsidP="007B0EF6">
      <w:pPr>
        <w:spacing w:before="240"/>
        <w:rPr>
          <w:rFonts w:eastAsia="Calibri" w:cs="Calibri"/>
          <w:kern w:val="0"/>
          <w14:ligatures w14:val="none"/>
        </w:rPr>
      </w:pPr>
      <w:r w:rsidRPr="001D0C2C">
        <w:rPr>
          <w:rFonts w:cs="Arial"/>
          <w:color w:val="000000"/>
          <w:szCs w:val="28"/>
        </w:rPr>
        <w:t xml:space="preserve">ncat is </w:t>
      </w:r>
      <w:r w:rsidRPr="001D0C2C">
        <w:rPr>
          <w:rStyle w:val="outlook-search-highlight"/>
          <w:rFonts w:cs="Arial"/>
          <w:color w:val="000000"/>
          <w:szCs w:val="28"/>
        </w:rPr>
        <w:t>funded</w:t>
      </w:r>
      <w:r w:rsidRPr="001D0C2C">
        <w:rPr>
          <w:rStyle w:val="apple-converted-space"/>
          <w:rFonts w:cs="Arial"/>
          <w:color w:val="000000"/>
          <w:szCs w:val="28"/>
        </w:rPr>
        <w:t> </w:t>
      </w:r>
      <w:r w:rsidRPr="001D0C2C">
        <w:rPr>
          <w:rStyle w:val="outlook-search-highlight"/>
          <w:rFonts w:cs="Arial"/>
          <w:color w:val="000000"/>
          <w:szCs w:val="28"/>
        </w:rPr>
        <w:t>by the</w:t>
      </w:r>
      <w:r w:rsidRPr="001D0C2C">
        <w:rPr>
          <w:rStyle w:val="apple-converted-space"/>
          <w:rFonts w:cs="Arial"/>
          <w:color w:val="000000"/>
          <w:szCs w:val="28"/>
        </w:rPr>
        <w:t> </w:t>
      </w:r>
      <w:r w:rsidRPr="001D0C2C">
        <w:rPr>
          <w:rFonts w:cs="Arial"/>
          <w:color w:val="000000"/>
          <w:szCs w:val="28"/>
        </w:rPr>
        <w:t>Motability Foundation, with</w:t>
      </w:r>
      <w:r w:rsidRPr="001D0C2C">
        <w:rPr>
          <w:rStyle w:val="apple-converted-space"/>
          <w:rFonts w:cs="Arial"/>
          <w:color w:val="000000"/>
          <w:szCs w:val="28"/>
        </w:rPr>
        <w:t> </w:t>
      </w:r>
      <w:r w:rsidRPr="001D0C2C">
        <w:rPr>
          <w:rStyle w:val="outlook-search-highlight"/>
          <w:rFonts w:cs="Arial"/>
          <w:color w:val="000000"/>
          <w:szCs w:val="28"/>
        </w:rPr>
        <w:t>the</w:t>
      </w:r>
      <w:r w:rsidRPr="001D0C2C">
        <w:rPr>
          <w:rStyle w:val="apple-converted-space"/>
          <w:rFonts w:cs="Arial"/>
          <w:color w:val="000000"/>
          <w:szCs w:val="28"/>
        </w:rPr>
        <w:t> </w:t>
      </w:r>
      <w:r w:rsidRPr="001D0C2C">
        <w:rPr>
          <w:rFonts w:cs="Arial"/>
          <w:color w:val="000000"/>
          <w:szCs w:val="28"/>
        </w:rPr>
        <w:t>aim of providing</w:t>
      </w:r>
      <w:r w:rsidRPr="001D0C2C">
        <w:rPr>
          <w:rStyle w:val="apple-converted-space"/>
          <w:rFonts w:cs="Arial"/>
          <w:color w:val="000000"/>
          <w:szCs w:val="28"/>
        </w:rPr>
        <w:t> </w:t>
      </w:r>
      <w:r w:rsidRPr="001D0C2C">
        <w:rPr>
          <w:rStyle w:val="outlook-search-highlight"/>
          <w:rFonts w:cs="Arial"/>
          <w:color w:val="000000"/>
          <w:szCs w:val="28"/>
        </w:rPr>
        <w:t>the</w:t>
      </w:r>
      <w:r w:rsidRPr="001D0C2C">
        <w:rPr>
          <w:rStyle w:val="apple-converted-space"/>
          <w:rFonts w:cs="Arial"/>
          <w:color w:val="000000"/>
          <w:szCs w:val="28"/>
        </w:rPr>
        <w:t> </w:t>
      </w:r>
      <w:r w:rsidRPr="001D0C2C">
        <w:rPr>
          <w:rFonts w:cs="Arial"/>
          <w:color w:val="000000"/>
          <w:szCs w:val="28"/>
        </w:rPr>
        <w:t>evidence base to make transport more accessible.</w:t>
      </w:r>
    </w:p>
    <w:p w14:paraId="7501024C"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For more information about ncat and its work please visit </w:t>
      </w:r>
      <w:hyperlink r:id="rId11" w:history="1">
        <w:r w:rsidRPr="00CE4276">
          <w:rPr>
            <w:rStyle w:val="Hyperlink"/>
            <w:rFonts w:eastAsia="Calibri" w:cs="Calibri"/>
            <w:kern w:val="0"/>
            <w14:ligatures w14:val="none"/>
          </w:rPr>
          <w:t>www.ncat.uk</w:t>
        </w:r>
      </w:hyperlink>
      <w:r>
        <w:rPr>
          <w:rFonts w:eastAsia="Calibri" w:cs="Calibri"/>
          <w:kern w:val="0"/>
          <w14:ligatures w14:val="none"/>
        </w:rPr>
        <w:t xml:space="preserve"> </w:t>
      </w:r>
    </w:p>
    <w:p w14:paraId="42C22109"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To contact ncat, either about this report or any other query, please email </w:t>
      </w:r>
      <w:hyperlink r:id="rId12" w:history="1">
        <w:r w:rsidRPr="00CE4276">
          <w:rPr>
            <w:rStyle w:val="Hyperlink"/>
            <w:rFonts w:eastAsia="Calibri" w:cs="Calibri"/>
            <w:kern w:val="0"/>
            <w14:ligatures w14:val="none"/>
          </w:rPr>
          <w:t>info@ncat.uk</w:t>
        </w:r>
      </w:hyperlink>
      <w:r>
        <w:rPr>
          <w:rFonts w:eastAsia="Calibri" w:cs="Calibri"/>
          <w:kern w:val="0"/>
          <w14:ligatures w14:val="none"/>
        </w:rPr>
        <w:t xml:space="preserve"> </w:t>
      </w:r>
    </w:p>
    <w:p w14:paraId="2C7A20D3" w14:textId="77777777" w:rsidR="007B0EF6" w:rsidRDefault="007B0EF6" w:rsidP="007B0EF6">
      <w:pPr>
        <w:spacing w:before="240"/>
        <w:rPr>
          <w:rFonts w:eastAsia="Calibri" w:cs="Calibri"/>
          <w:kern w:val="0"/>
          <w14:ligatures w14:val="none"/>
        </w:rPr>
      </w:pPr>
    </w:p>
    <w:p w14:paraId="644A0E39" w14:textId="77777777" w:rsidR="007B0EF6" w:rsidRDefault="007B0EF6" w:rsidP="007B0EF6">
      <w:pPr>
        <w:spacing w:before="240"/>
        <w:rPr>
          <w:rFonts w:eastAsia="Calibri" w:cs="Calibri"/>
          <w:kern w:val="0"/>
          <w14:ligatures w14:val="none"/>
        </w:rPr>
      </w:pPr>
      <w:r>
        <w:rPr>
          <w:noProof/>
        </w:rPr>
        <w:drawing>
          <wp:inline distT="0" distB="0" distL="0" distR="0" wp14:anchorId="08109D2B" wp14:editId="504F025B">
            <wp:extent cx="5676314" cy="2157039"/>
            <wp:effectExtent l="0" t="0" r="635" b="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92931" cy="2163354"/>
                    </a:xfrm>
                    <a:prstGeom prst="rect">
                      <a:avLst/>
                    </a:prstGeom>
                    <a:ln w="12700" cap="flat">
                      <a:noFill/>
                      <a:miter lim="400000"/>
                    </a:ln>
                    <a:effectLst/>
                  </pic:spPr>
                </pic:pic>
              </a:graphicData>
            </a:graphic>
          </wp:inline>
        </w:drawing>
      </w:r>
    </w:p>
    <w:p w14:paraId="611B4514" w14:textId="3CB89018" w:rsidR="00AD7BC4" w:rsidRPr="002B3D50" w:rsidRDefault="0040476F" w:rsidP="006D7E82">
      <w:pPr>
        <w:pStyle w:val="Heading1"/>
      </w:pPr>
      <w:r>
        <w:t>7</w:t>
      </w:r>
      <w:r w:rsidR="00AD7BC4" w:rsidRPr="003532E7">
        <w:tab/>
      </w:r>
      <w:bookmarkEnd w:id="11"/>
      <w:r w:rsidR="00961F2F">
        <w:rPr>
          <w:rStyle w:val="normaltextrun"/>
        </w:rPr>
        <w:t>References</w:t>
      </w:r>
      <w:r w:rsidRPr="006D5BC3">
        <w:rPr>
          <w:rStyle w:val="eop"/>
        </w:rPr>
        <w:t> </w:t>
      </w:r>
    </w:p>
    <w:p w14:paraId="390402FC" w14:textId="72047E60" w:rsidR="009740A8" w:rsidRPr="009740A8" w:rsidRDefault="00C337EF" w:rsidP="009740A8">
      <w:pPr>
        <w:pStyle w:val="BodyText"/>
        <w:rPr>
          <w:sz w:val="28"/>
          <w:szCs w:val="28"/>
          <w:lang w:eastAsia="en-GB"/>
        </w:rPr>
      </w:pPr>
      <w:bookmarkStart w:id="12" w:name="_Toc213311102"/>
      <w:r>
        <w:rPr>
          <w:sz w:val="28"/>
          <w:szCs w:val="28"/>
          <w:lang w:eastAsia="en-GB"/>
        </w:rPr>
        <w:t>Please note, t</w:t>
      </w:r>
      <w:r w:rsidRPr="00C337EF">
        <w:rPr>
          <w:sz w:val="28"/>
          <w:szCs w:val="28"/>
          <w:lang w:eastAsia="en-GB"/>
        </w:rPr>
        <w:t xml:space="preserve">his reference list reflects the full set of materials used to inform the research, extending beyond the </w:t>
      </w:r>
      <w:r>
        <w:rPr>
          <w:sz w:val="28"/>
          <w:szCs w:val="28"/>
          <w:lang w:eastAsia="en-GB"/>
        </w:rPr>
        <w:t>documents cited within this</w:t>
      </w:r>
      <w:r w:rsidRPr="00C337EF">
        <w:rPr>
          <w:sz w:val="28"/>
          <w:szCs w:val="28"/>
          <w:lang w:eastAsia="en-GB"/>
        </w:rPr>
        <w:t xml:space="preserve"> highlights report.</w:t>
      </w:r>
      <w:r w:rsidR="009740A8" w:rsidRPr="009740A8">
        <w:rPr>
          <w:sz w:val="28"/>
          <w:szCs w:val="28"/>
          <w:lang w:eastAsia="en-GB"/>
        </w:rPr>
        <w:t xml:space="preserve"> </w:t>
      </w:r>
    </w:p>
    <w:p w14:paraId="05CF181A" w14:textId="1F847EDF" w:rsidR="00B536DD" w:rsidRDefault="00B536DD" w:rsidP="006D7E82">
      <w:pPr>
        <w:pStyle w:val="Heading2"/>
      </w:pPr>
      <w:r>
        <w:t>Government</w:t>
      </w:r>
      <w:r w:rsidRPr="004B0A74">
        <w:t xml:space="preserve"> appraisal guidance</w:t>
      </w:r>
      <w:r>
        <w:t xml:space="preserve"> documents</w:t>
      </w:r>
      <w:bookmarkEnd w:id="12"/>
    </w:p>
    <w:p w14:paraId="74DC5D22" w14:textId="6A8CD3A1"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(2018) </w:t>
      </w:r>
      <w:r w:rsidRPr="00285004">
        <w:rPr>
          <w:rFonts w:eastAsiaTheme="minorEastAsia" w:cs="Arial"/>
          <w:i/>
          <w:iCs/>
          <w:kern w:val="24"/>
          <w:szCs w:val="28"/>
          <w:lang w:eastAsia="en-GB"/>
          <w14:ligatures w14:val="none"/>
        </w:rPr>
        <w:t>Inclusive Transport Strategy: Achieving Equal Access for Disabled People</w:t>
      </w:r>
      <w:r w:rsidRPr="00285004">
        <w:rPr>
          <w:rFonts w:eastAsiaTheme="minorEastAsia" w:cs="Arial"/>
          <w:kern w:val="24"/>
          <w:szCs w:val="28"/>
          <w:lang w:eastAsia="en-GB"/>
          <w14:ligatures w14:val="none"/>
        </w:rPr>
        <w:t xml:space="preserve">. London: Department for Transport. Available at: </w:t>
      </w:r>
      <w:hyperlink r:id="rId14" w:history="1">
        <w:r w:rsidR="006D7E82" w:rsidRPr="00074E2D">
          <w:rPr>
            <w:rStyle w:val="Hyperlink"/>
            <w:rFonts w:eastAsiaTheme="minorEastAsia" w:cs="Arial"/>
            <w:kern w:val="24"/>
            <w:szCs w:val="28"/>
            <w:lang w:eastAsia="en-GB"/>
            <w14:ligatures w14:val="none"/>
          </w:rPr>
          <w:t>https://www.gov.uk/government/publications/inclusive-transport-strategy</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4EDCA53" w14:textId="77777777" w:rsidR="00B536DD" w:rsidRDefault="00B536DD" w:rsidP="00B536DD">
      <w:pPr>
        <w:spacing w:line="276" w:lineRule="auto"/>
        <w:contextualSpacing/>
        <w:rPr>
          <w:rFonts w:eastAsiaTheme="minorEastAsia" w:cs="Arial"/>
          <w:kern w:val="24"/>
          <w:szCs w:val="28"/>
          <w:lang w:eastAsia="en-GB"/>
          <w14:ligatures w14:val="none"/>
        </w:rPr>
      </w:pPr>
    </w:p>
    <w:p w14:paraId="7177BE6C" w14:textId="0FAC1D22" w:rsidR="00B536DD" w:rsidRPr="00285004" w:rsidRDefault="00B536DD" w:rsidP="00B536DD">
      <w:pPr>
        <w:spacing w:line="276" w:lineRule="auto"/>
        <w:contextualSpacing/>
        <w:rPr>
          <w:rFonts w:eastAsiaTheme="minorEastAsia" w:cs="Arial"/>
          <w:kern w:val="24"/>
          <w:szCs w:val="28"/>
          <w:lang w:eastAsia="en-GB"/>
          <w14:ligatures w14:val="none"/>
        </w:rPr>
      </w:pPr>
      <w:r w:rsidRPr="00E47AC7">
        <w:rPr>
          <w:rFonts w:eastAsiaTheme="minorEastAsia" w:cs="Arial"/>
          <w:kern w:val="24"/>
          <w:szCs w:val="28"/>
          <w:lang w:eastAsia="en-GB"/>
          <w14:ligatures w14:val="none"/>
        </w:rPr>
        <w:t xml:space="preserve">Department for Transport &amp; Haigh, L. (2024) </w:t>
      </w:r>
      <w:r w:rsidRPr="00E47AC7">
        <w:rPr>
          <w:rFonts w:eastAsiaTheme="minorEastAsia" w:cs="Arial"/>
          <w:i/>
          <w:iCs/>
          <w:kern w:val="24"/>
          <w:szCs w:val="28"/>
          <w:lang w:eastAsia="en-GB"/>
          <w14:ligatures w14:val="none"/>
        </w:rPr>
        <w:t>Integrated National Transport Strategy for England: Announcing plans for an integrated national transport strategy for England</w:t>
      </w:r>
      <w:r w:rsidRPr="00E47AC7">
        <w:rPr>
          <w:rFonts w:eastAsiaTheme="minorEastAsia" w:cs="Arial"/>
          <w:kern w:val="24"/>
          <w:szCs w:val="28"/>
          <w:lang w:eastAsia="en-GB"/>
          <w14:ligatures w14:val="none"/>
        </w:rPr>
        <w:t xml:space="preserve">. Houses of Parliament, 28 November. Available at: </w:t>
      </w:r>
      <w:hyperlink r:id="rId15" w:history="1">
        <w:r w:rsidR="006D7E82" w:rsidRPr="00074E2D">
          <w:rPr>
            <w:rStyle w:val="Hyperlink"/>
            <w:rFonts w:cs="Arial"/>
            <w:szCs w:val="28"/>
          </w:rPr>
          <w:t>https://www.gov.uk/government/speeches/integrated-national-transport-strategy-for-england</w:t>
        </w:r>
      </w:hyperlink>
      <w:r w:rsidR="006D7E82">
        <w:rPr>
          <w:rFonts w:cs="Arial"/>
          <w:szCs w:val="28"/>
        </w:rPr>
        <w:t xml:space="preserve"> </w:t>
      </w:r>
      <w:r w:rsidRPr="00E47AC7">
        <w:rPr>
          <w:rFonts w:eastAsiaTheme="minorEastAsia" w:cs="Arial"/>
          <w:kern w:val="24"/>
          <w:szCs w:val="28"/>
          <w:lang w:eastAsia="en-GB"/>
          <w14:ligatures w14:val="none"/>
        </w:rPr>
        <w:t>(Accessed: 28 October 2025).</w:t>
      </w:r>
    </w:p>
    <w:p w14:paraId="19D12122" w14:textId="77777777" w:rsidR="00B536DD" w:rsidRDefault="00B536DD" w:rsidP="00B536DD">
      <w:pPr>
        <w:spacing w:line="276" w:lineRule="auto"/>
        <w:contextualSpacing/>
        <w:rPr>
          <w:rFonts w:eastAsiaTheme="minorEastAsia" w:cs="Arial"/>
          <w:kern w:val="24"/>
          <w:szCs w:val="28"/>
          <w:lang w:eastAsia="en-GB"/>
          <w14:ligatures w14:val="none"/>
        </w:rPr>
      </w:pPr>
    </w:p>
    <w:p w14:paraId="06F0DE69" w14:textId="1FE841DE"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(2022) </w:t>
      </w:r>
      <w:r w:rsidRPr="00285004">
        <w:rPr>
          <w:rFonts w:eastAsiaTheme="minorEastAsia" w:cs="Arial"/>
          <w:i/>
          <w:iCs/>
          <w:kern w:val="24"/>
          <w:szCs w:val="28"/>
          <w:lang w:eastAsia="en-GB"/>
          <w14:ligatures w14:val="none"/>
        </w:rPr>
        <w:t>Transport Analysis Guidance (TAG) Unit A4.1: Social Impact Appraisal</w:t>
      </w:r>
      <w:r w:rsidRPr="00285004">
        <w:rPr>
          <w:rFonts w:eastAsiaTheme="minorEastAsia" w:cs="Arial"/>
          <w:kern w:val="24"/>
          <w:szCs w:val="28"/>
          <w:lang w:eastAsia="en-GB"/>
          <w14:ligatures w14:val="none"/>
        </w:rPr>
        <w:t xml:space="preserve">. London: Department for Transport. Available at: </w:t>
      </w:r>
      <w:hyperlink r:id="rId16" w:history="1">
        <w:r w:rsidR="006D7E82" w:rsidRPr="00074E2D">
          <w:rPr>
            <w:rStyle w:val="Hyperlink"/>
            <w:rFonts w:eastAsiaTheme="minorEastAsia" w:cs="Arial"/>
            <w:kern w:val="24"/>
            <w:szCs w:val="28"/>
            <w:lang w:eastAsia="en-GB"/>
            <w14:ligatures w14:val="none"/>
          </w:rPr>
          <w:t>https://www.gov.uk/government/publications/tag-unit-a41-social-impact-appraisal</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61911971" w14:textId="77777777" w:rsidR="00B536DD" w:rsidRDefault="00B536DD" w:rsidP="00B536DD">
      <w:pPr>
        <w:spacing w:line="276" w:lineRule="auto"/>
        <w:contextualSpacing/>
        <w:rPr>
          <w:rFonts w:eastAsiaTheme="minorEastAsia" w:cs="Arial"/>
          <w:kern w:val="24"/>
          <w:szCs w:val="28"/>
          <w:lang w:eastAsia="en-GB"/>
          <w14:ligatures w14:val="none"/>
        </w:rPr>
      </w:pPr>
    </w:p>
    <w:p w14:paraId="1689DFD7" w14:textId="2663FA81"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(2022) </w:t>
      </w:r>
      <w:r w:rsidRPr="00285004">
        <w:rPr>
          <w:rFonts w:eastAsiaTheme="minorEastAsia" w:cs="Arial"/>
          <w:i/>
          <w:iCs/>
          <w:kern w:val="24"/>
          <w:szCs w:val="28"/>
          <w:lang w:eastAsia="en-GB"/>
          <w14:ligatures w14:val="none"/>
        </w:rPr>
        <w:t>Transport Analysis Guidance (TAG) Unit A4.2: Distributional Impact Appraisal</w:t>
      </w:r>
      <w:r w:rsidRPr="00285004">
        <w:rPr>
          <w:rFonts w:eastAsiaTheme="minorEastAsia" w:cs="Arial"/>
          <w:kern w:val="24"/>
          <w:szCs w:val="28"/>
          <w:lang w:eastAsia="en-GB"/>
          <w14:ligatures w14:val="none"/>
        </w:rPr>
        <w:t xml:space="preserve">. London: Department for Transport. Available at: </w:t>
      </w:r>
      <w:hyperlink r:id="rId17" w:history="1">
        <w:r w:rsidR="006D7E82" w:rsidRPr="00074E2D">
          <w:rPr>
            <w:rStyle w:val="Hyperlink"/>
            <w:rFonts w:eastAsiaTheme="minorEastAsia" w:cs="Arial"/>
            <w:kern w:val="24"/>
            <w:szCs w:val="28"/>
            <w:lang w:eastAsia="en-GB"/>
            <w14:ligatures w14:val="none"/>
          </w:rPr>
          <w:t>https://www.gov.uk/government/publications/tag-unit-a42-distributional-impact-appraisal</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25D0223" w14:textId="77777777" w:rsidR="00B536DD" w:rsidRDefault="00B536DD" w:rsidP="00B536DD">
      <w:pPr>
        <w:spacing w:line="276" w:lineRule="auto"/>
        <w:contextualSpacing/>
        <w:rPr>
          <w:rFonts w:eastAsiaTheme="minorEastAsia" w:cs="Arial"/>
          <w:kern w:val="24"/>
          <w:szCs w:val="28"/>
          <w:lang w:eastAsia="en-GB"/>
          <w14:ligatures w14:val="none"/>
        </w:rPr>
      </w:pPr>
    </w:p>
    <w:p w14:paraId="0527DA0D" w14:textId="5103CF57"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HM Treasury (2022) </w:t>
      </w:r>
      <w:r w:rsidRPr="00285004">
        <w:rPr>
          <w:rFonts w:eastAsiaTheme="minorEastAsia" w:cs="Arial"/>
          <w:i/>
          <w:iCs/>
          <w:kern w:val="24"/>
          <w:szCs w:val="28"/>
          <w:lang w:eastAsia="en-GB"/>
          <w14:ligatures w14:val="none"/>
        </w:rPr>
        <w:t>The Green Book: Central Government Guidance on Appraisal and Evaluation</w:t>
      </w:r>
      <w:r w:rsidRPr="00285004">
        <w:rPr>
          <w:rFonts w:eastAsiaTheme="minorEastAsia" w:cs="Arial"/>
          <w:kern w:val="24"/>
          <w:szCs w:val="28"/>
          <w:lang w:eastAsia="en-GB"/>
          <w14:ligatures w14:val="none"/>
        </w:rPr>
        <w:t xml:space="preserve">. London: HM Treasury. Available at: </w:t>
      </w:r>
      <w:hyperlink r:id="rId18" w:history="1">
        <w:r w:rsidR="006D7E82" w:rsidRPr="00074E2D">
          <w:rPr>
            <w:rStyle w:val="Hyperlink"/>
            <w:rFonts w:eastAsiaTheme="minorEastAsia" w:cs="Arial"/>
            <w:kern w:val="24"/>
            <w:szCs w:val="28"/>
            <w:lang w:eastAsia="en-GB"/>
            <w14:ligatures w14:val="none"/>
          </w:rPr>
          <w:t>https://www.gov.uk/government/publications/the-green-book-appraisal-and-evaluation-in-central-governent</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64E4D653" w14:textId="77777777" w:rsidR="00B536DD" w:rsidRDefault="00B536DD" w:rsidP="00B536DD">
      <w:pPr>
        <w:spacing w:line="276" w:lineRule="auto"/>
        <w:contextualSpacing/>
        <w:rPr>
          <w:rFonts w:eastAsiaTheme="minorEastAsia" w:cs="Arial"/>
          <w:kern w:val="24"/>
          <w:szCs w:val="28"/>
          <w:lang w:eastAsia="en-GB"/>
          <w14:ligatures w14:val="none"/>
        </w:rPr>
      </w:pPr>
    </w:p>
    <w:p w14:paraId="5B227787" w14:textId="30207317" w:rsidR="00B536DD" w:rsidRPr="006D7E82" w:rsidRDefault="00B536DD" w:rsidP="006D7E82">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HM Treasury (2025) </w:t>
      </w:r>
      <w:r w:rsidRPr="00285004">
        <w:rPr>
          <w:rFonts w:eastAsiaTheme="minorEastAsia" w:cs="Arial"/>
          <w:i/>
          <w:iCs/>
          <w:kern w:val="24"/>
          <w:szCs w:val="28"/>
          <w:lang w:eastAsia="en-GB"/>
          <w14:ligatures w14:val="none"/>
        </w:rPr>
        <w:t>Green Book Review: Final Report</w:t>
      </w:r>
      <w:r w:rsidRPr="00285004">
        <w:rPr>
          <w:rFonts w:eastAsiaTheme="minorEastAsia" w:cs="Arial"/>
          <w:kern w:val="24"/>
          <w:szCs w:val="28"/>
          <w:lang w:eastAsia="en-GB"/>
          <w14:ligatures w14:val="none"/>
        </w:rPr>
        <w:t xml:space="preserve">. London: HM Treasury. Available at: </w:t>
      </w:r>
      <w:hyperlink r:id="rId19" w:history="1">
        <w:r w:rsidR="006D7E82" w:rsidRPr="00074E2D">
          <w:rPr>
            <w:rStyle w:val="Hyperlink"/>
            <w:rFonts w:eastAsiaTheme="minorEastAsia" w:cs="Arial"/>
            <w:kern w:val="24"/>
            <w:szCs w:val="28"/>
            <w:lang w:eastAsia="en-GB"/>
            <w14:ligatures w14:val="none"/>
          </w:rPr>
          <w:t>https://www.gov.uk/government/publications/green-book-review-2025</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54504D1C" w14:textId="77777777" w:rsidR="00B536DD" w:rsidRPr="00285004" w:rsidRDefault="00B536DD" w:rsidP="006D7E82">
      <w:pPr>
        <w:pStyle w:val="Heading2"/>
        <w:rPr>
          <w:rFonts w:eastAsiaTheme="minorEastAsia"/>
          <w:kern w:val="24"/>
        </w:rPr>
      </w:pPr>
      <w:bookmarkStart w:id="13" w:name="_Toc213311103"/>
      <w:r w:rsidRPr="00E81B77">
        <w:t xml:space="preserve">Government </w:t>
      </w:r>
      <w:r>
        <w:t xml:space="preserve">policy papers and </w:t>
      </w:r>
      <w:r w:rsidRPr="00E81B77">
        <w:t>report</w:t>
      </w:r>
      <w:r>
        <w:t>s</w:t>
      </w:r>
      <w:bookmarkEnd w:id="13"/>
    </w:p>
    <w:p w14:paraId="27AB078F" w14:textId="3B7B08A1" w:rsidR="00B536DD" w:rsidRPr="004E79CD" w:rsidRDefault="00B536DD" w:rsidP="00B536DD">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Department for Transport (2018) </w:t>
      </w:r>
      <w:r w:rsidRPr="0061647E">
        <w:rPr>
          <w:rFonts w:eastAsiaTheme="minorEastAsia" w:cs="Arial"/>
          <w:i/>
          <w:iCs/>
          <w:kern w:val="24"/>
          <w:szCs w:val="28"/>
          <w:lang w:eastAsia="en-GB"/>
          <w14:ligatures w14:val="none"/>
        </w:rPr>
        <w:t>The Inclusive Transport Strategy: achieving equal access for disabled people</w:t>
      </w:r>
      <w:r>
        <w:rPr>
          <w:rFonts w:eastAsiaTheme="minorEastAsia" w:cs="Arial"/>
          <w:i/>
          <w:iCs/>
          <w:kern w:val="24"/>
          <w:szCs w:val="28"/>
          <w:lang w:eastAsia="en-GB"/>
          <w14:ligatures w14:val="none"/>
        </w:rPr>
        <w:t xml:space="preserve">. </w:t>
      </w:r>
      <w:r>
        <w:rPr>
          <w:rFonts w:eastAsiaTheme="minorEastAsia" w:cs="Arial"/>
          <w:kern w:val="24"/>
          <w:szCs w:val="28"/>
          <w:lang w:eastAsia="en-GB"/>
          <w14:ligatures w14:val="none"/>
        </w:rPr>
        <w:t xml:space="preserve">London: Department for Transport. Available at: </w:t>
      </w:r>
      <w:hyperlink r:id="rId20" w:history="1">
        <w:r w:rsidR="006D7E82" w:rsidRPr="00074E2D">
          <w:rPr>
            <w:rStyle w:val="Hyperlink"/>
            <w:rFonts w:eastAsiaTheme="minorEastAsia" w:cs="Arial"/>
            <w:kern w:val="24"/>
            <w:szCs w:val="28"/>
            <w:lang w:eastAsia="en-GB"/>
            <w14:ligatures w14:val="none"/>
          </w:rPr>
          <w:t>https://assets.publishing.service.gov.uk/media/5b570a11e5274a3fe478c352/inclusive-transport-strategy.pdf</w:t>
        </w:r>
      </w:hyperlink>
      <w:r w:rsidR="006D7E82">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28 October 2025).</w:t>
      </w:r>
    </w:p>
    <w:p w14:paraId="674DD15D" w14:textId="77777777" w:rsidR="00B536DD" w:rsidRDefault="00B536DD" w:rsidP="00B536DD">
      <w:pPr>
        <w:spacing w:line="276" w:lineRule="auto"/>
        <w:contextualSpacing/>
        <w:rPr>
          <w:rFonts w:eastAsiaTheme="minorEastAsia" w:cs="Arial"/>
          <w:kern w:val="24"/>
          <w:szCs w:val="28"/>
          <w:lang w:eastAsia="en-GB"/>
          <w14:ligatures w14:val="none"/>
        </w:rPr>
      </w:pPr>
    </w:p>
    <w:p w14:paraId="2F65C383" w14:textId="77777777" w:rsidR="00B536DD" w:rsidRPr="00960AC3" w:rsidRDefault="00B536DD" w:rsidP="00B536DD">
      <w:pPr>
        <w:spacing w:line="276" w:lineRule="auto"/>
        <w:contextualSpacing/>
        <w:rPr>
          <w:rFonts w:eastAsiaTheme="minorEastAsia" w:cs="Arial"/>
          <w:i/>
          <w:iCs/>
          <w:kern w:val="24"/>
          <w:szCs w:val="28"/>
          <w:lang w:eastAsia="en-GB"/>
          <w14:ligatures w14:val="none"/>
        </w:rPr>
      </w:pPr>
      <w:r w:rsidRPr="3190172D">
        <w:rPr>
          <w:rFonts w:eastAsiaTheme="minorEastAsia" w:cs="Arial"/>
          <w:szCs w:val="28"/>
          <w:lang w:eastAsia="en-GB"/>
        </w:rPr>
        <w:t xml:space="preserve">Department for Transport (2024) </w:t>
      </w:r>
      <w:r w:rsidRPr="00960AC3">
        <w:rPr>
          <w:rFonts w:eastAsiaTheme="minorEastAsia" w:cs="Arial"/>
          <w:i/>
          <w:iCs/>
          <w:szCs w:val="28"/>
          <w:lang w:eastAsia="en-GB"/>
        </w:rPr>
        <w:t xml:space="preserve">Review of TAG Impacts through a </w:t>
      </w:r>
    </w:p>
    <w:p w14:paraId="6E0A538D" w14:textId="41C48933" w:rsidR="00B536DD" w:rsidRPr="00960AC3" w:rsidRDefault="00B536DD" w:rsidP="00B536DD">
      <w:pPr>
        <w:spacing w:line="276" w:lineRule="auto"/>
        <w:contextualSpacing/>
        <w:rPr>
          <w:rFonts w:eastAsiaTheme="minorEastAsia" w:cs="Arial"/>
          <w:kern w:val="24"/>
          <w:szCs w:val="28"/>
          <w:lang w:eastAsia="en-GB"/>
          <w14:ligatures w14:val="none"/>
        </w:rPr>
      </w:pPr>
      <w:r w:rsidRPr="00960AC3">
        <w:rPr>
          <w:rFonts w:eastAsiaTheme="minorEastAsia" w:cs="Arial"/>
          <w:i/>
          <w:iCs/>
          <w:szCs w:val="28"/>
          <w:lang w:eastAsia="en-GB"/>
        </w:rPr>
        <w:t>wellbeing lens</w:t>
      </w:r>
      <w:r w:rsidRPr="3190172D">
        <w:rPr>
          <w:rFonts w:eastAsiaTheme="minorEastAsia" w:cs="Arial"/>
          <w:i/>
          <w:iCs/>
          <w:szCs w:val="28"/>
          <w:lang w:eastAsia="en-GB"/>
        </w:rPr>
        <w:t xml:space="preserve">, Final Report. </w:t>
      </w:r>
      <w:r w:rsidRPr="3190172D">
        <w:rPr>
          <w:rFonts w:eastAsiaTheme="minorEastAsia" w:cs="Arial"/>
          <w:szCs w:val="28"/>
          <w:lang w:eastAsia="en-GB"/>
        </w:rPr>
        <w:t xml:space="preserve">London: Department for Transport. Available at: </w:t>
      </w:r>
      <w:hyperlink r:id="rId21" w:history="1">
        <w:r w:rsidR="006D7E82" w:rsidRPr="00074E2D">
          <w:rPr>
            <w:rStyle w:val="Hyperlink"/>
            <w:rFonts w:eastAsiaTheme="minorEastAsia" w:cs="Arial"/>
            <w:szCs w:val="28"/>
            <w:lang w:eastAsia="en-GB"/>
          </w:rPr>
          <w:t>https://assets.publishing.service.gov.uk/media/6718fc47dd93e6b1fa07bec7/dft-review-tag-impacts-through-wellbeing-lens.pdf</w:t>
        </w:r>
      </w:hyperlink>
      <w:r w:rsidR="006D7E82">
        <w:rPr>
          <w:rFonts w:eastAsiaTheme="minorEastAsia" w:cs="Arial"/>
          <w:szCs w:val="28"/>
          <w:lang w:eastAsia="en-GB"/>
        </w:rPr>
        <w:t xml:space="preserve"> </w:t>
      </w:r>
      <w:r w:rsidRPr="3190172D">
        <w:rPr>
          <w:rFonts w:eastAsiaTheme="minorEastAsia" w:cs="Arial"/>
          <w:szCs w:val="28"/>
          <w:lang w:eastAsia="en-GB"/>
        </w:rPr>
        <w:t>(Accessed 20 November 2025).</w:t>
      </w:r>
    </w:p>
    <w:p w14:paraId="1D3435B2" w14:textId="77777777" w:rsidR="00B536DD" w:rsidRPr="00960AC3" w:rsidRDefault="00B536DD" w:rsidP="00B536DD">
      <w:pPr>
        <w:spacing w:line="276" w:lineRule="auto"/>
        <w:contextualSpacing/>
        <w:rPr>
          <w:rFonts w:eastAsiaTheme="minorEastAsia" w:cs="Arial"/>
          <w:i/>
          <w:iCs/>
          <w:kern w:val="24"/>
          <w:szCs w:val="28"/>
          <w:lang w:eastAsia="en-GB"/>
          <w14:ligatures w14:val="none"/>
        </w:rPr>
      </w:pPr>
    </w:p>
    <w:p w14:paraId="76FCAFAC" w14:textId="10D931A9" w:rsidR="00B536DD" w:rsidRDefault="00B536DD" w:rsidP="00B536DD">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Department for Transport (2025) </w:t>
      </w:r>
      <w:r w:rsidRPr="00B46ED0">
        <w:rPr>
          <w:rFonts w:eastAsiaTheme="minorEastAsia" w:cs="Arial"/>
          <w:i/>
          <w:iCs/>
          <w:kern w:val="24"/>
          <w:szCs w:val="28"/>
          <w:lang w:eastAsia="en-GB"/>
          <w14:ligatures w14:val="none"/>
        </w:rPr>
        <w:t>Access denied: rights versus reality in disabled people’s access to transport: Government Response.</w:t>
      </w:r>
      <w:r>
        <w:rPr>
          <w:rFonts w:eastAsiaTheme="minorEastAsia" w:cs="Arial"/>
          <w:kern w:val="24"/>
          <w:szCs w:val="28"/>
          <w:lang w:eastAsia="en-GB"/>
          <w14:ligatures w14:val="none"/>
        </w:rPr>
        <w:t xml:space="preserve"> London: House of Commons. Available at: </w:t>
      </w:r>
      <w:hyperlink r:id="rId22" w:history="1">
        <w:r w:rsidR="006D7E82" w:rsidRPr="00074E2D">
          <w:rPr>
            <w:rStyle w:val="Hyperlink"/>
            <w:rFonts w:eastAsiaTheme="minorEastAsia" w:cs="Arial"/>
            <w:kern w:val="24"/>
            <w:szCs w:val="28"/>
            <w:lang w:eastAsia="en-GB"/>
            <w14:ligatures w14:val="none"/>
          </w:rPr>
          <w:t>https://committees.parliament.uk/publications/48336/documents/252972/default/</w:t>
        </w:r>
      </w:hyperlink>
      <w:r w:rsidR="006D7E82">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21 October 2025).</w:t>
      </w:r>
    </w:p>
    <w:p w14:paraId="56EC5AA9" w14:textId="77777777" w:rsidR="00B536DD" w:rsidRDefault="00B536DD" w:rsidP="00B536DD">
      <w:pPr>
        <w:spacing w:line="276" w:lineRule="auto"/>
        <w:contextualSpacing/>
        <w:rPr>
          <w:rFonts w:eastAsiaTheme="minorEastAsia" w:cs="Arial"/>
          <w:kern w:val="24"/>
          <w:szCs w:val="28"/>
          <w:lang w:eastAsia="en-GB"/>
          <w14:ligatures w14:val="none"/>
        </w:rPr>
      </w:pPr>
    </w:p>
    <w:p w14:paraId="445EE4EE" w14:textId="062358B7"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Office for National Statistics (2023) </w:t>
      </w:r>
      <w:r w:rsidRPr="00285004">
        <w:rPr>
          <w:rFonts w:eastAsiaTheme="minorEastAsia" w:cs="Arial"/>
          <w:i/>
          <w:iCs/>
          <w:kern w:val="24"/>
          <w:szCs w:val="28"/>
          <w:lang w:eastAsia="en-GB"/>
          <w14:ligatures w14:val="none"/>
        </w:rPr>
        <w:t>Family Spending in the UK: April 2022 to March 2023</w:t>
      </w:r>
      <w:r w:rsidRPr="00285004">
        <w:rPr>
          <w:rFonts w:eastAsiaTheme="minorEastAsia" w:cs="Arial"/>
          <w:kern w:val="24"/>
          <w:szCs w:val="28"/>
          <w:lang w:eastAsia="en-GB"/>
          <w14:ligatures w14:val="none"/>
        </w:rPr>
        <w:t xml:space="preserve">. Newport: ONS. Available at: </w:t>
      </w:r>
      <w:hyperlink r:id="rId23" w:history="1">
        <w:r w:rsidR="006D7E82" w:rsidRPr="00074E2D">
          <w:rPr>
            <w:rStyle w:val="Hyperlink"/>
            <w:rFonts w:eastAsiaTheme="minorEastAsia" w:cs="Arial"/>
            <w:kern w:val="24"/>
            <w:szCs w:val="28"/>
            <w:lang w:eastAsia="en-GB"/>
            <w14:ligatures w14:val="none"/>
          </w:rPr>
          <w:t>https://www.ons.gov.uk/peoplepopulationandcommunity/personalandhouseholdfinances/expenditure/bulletins/familyspendingintheuk/april2022tomarch2023</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078148A5" w14:textId="77777777" w:rsidR="00B536DD" w:rsidRDefault="00B536DD" w:rsidP="00B536DD">
      <w:pPr>
        <w:spacing w:line="276" w:lineRule="auto"/>
        <w:contextualSpacing/>
        <w:rPr>
          <w:rFonts w:eastAsiaTheme="minorEastAsia" w:cs="Arial"/>
          <w:kern w:val="24"/>
          <w:szCs w:val="28"/>
          <w:lang w:eastAsia="en-GB"/>
          <w14:ligatures w14:val="none"/>
        </w:rPr>
      </w:pPr>
    </w:p>
    <w:p w14:paraId="05CC8EAD" w14:textId="69C24656" w:rsidR="00B536DD" w:rsidRPr="00285004" w:rsidRDefault="00B536DD" w:rsidP="00B536DD">
      <w:pPr>
        <w:spacing w:line="276" w:lineRule="auto"/>
        <w:contextualSpacing/>
        <w:rPr>
          <w:rFonts w:eastAsiaTheme="minorEastAsia" w:cs="Arial"/>
          <w:kern w:val="24"/>
          <w:szCs w:val="28"/>
          <w:lang w:eastAsia="en-GB"/>
          <w14:ligatures w14:val="none"/>
        </w:rPr>
      </w:pPr>
      <w:r w:rsidRPr="00A50053">
        <w:rPr>
          <w:rFonts w:eastAsiaTheme="minorEastAsia" w:cs="Arial"/>
          <w:kern w:val="24"/>
          <w:szCs w:val="28"/>
          <w:lang w:eastAsia="en-GB"/>
          <w14:ligatures w14:val="none"/>
        </w:rPr>
        <w:t xml:space="preserve">Office for Statistics Regulation. (2022) </w:t>
      </w:r>
      <w:r w:rsidRPr="00A50053">
        <w:rPr>
          <w:rFonts w:eastAsiaTheme="minorEastAsia" w:cs="Arial"/>
          <w:i/>
          <w:iCs/>
          <w:kern w:val="24"/>
          <w:szCs w:val="28"/>
          <w:lang w:eastAsia="en-GB"/>
          <w14:ligatures w14:val="none"/>
        </w:rPr>
        <w:t>Review of Transport Accessibility Statistics</w:t>
      </w:r>
      <w:r w:rsidRPr="00A50053">
        <w:rPr>
          <w:rFonts w:eastAsiaTheme="minorEastAsia" w:cs="Arial"/>
          <w:kern w:val="24"/>
          <w:szCs w:val="28"/>
          <w:lang w:eastAsia="en-GB"/>
          <w14:ligatures w14:val="none"/>
        </w:rPr>
        <w:t xml:space="preserve">. Published 10 February 2022, last updated 25 April 2022. UK: Office for Statistics Regulation. Available at: </w:t>
      </w:r>
      <w:hyperlink r:id="rId24" w:history="1">
        <w:r w:rsidR="006D7E82" w:rsidRPr="00074E2D">
          <w:rPr>
            <w:rStyle w:val="Hyperlink"/>
            <w:rFonts w:cs="Arial"/>
            <w:szCs w:val="28"/>
          </w:rPr>
          <w:t>https://osr.statisticsauthority.gov.uk/publication/review-of-transport-accessibility-statistics/</w:t>
        </w:r>
      </w:hyperlink>
      <w:r w:rsidR="006D7E82">
        <w:rPr>
          <w:rFonts w:cs="Arial"/>
          <w:szCs w:val="28"/>
        </w:rPr>
        <w:t xml:space="preserve"> </w:t>
      </w:r>
      <w:r>
        <w:rPr>
          <w:rFonts w:eastAsiaTheme="minorEastAsia" w:cs="Arial"/>
          <w:kern w:val="24"/>
          <w:szCs w:val="28"/>
          <w:lang w:eastAsia="en-GB"/>
          <w14:ligatures w14:val="none"/>
        </w:rPr>
        <w:t>(</w:t>
      </w:r>
      <w:r w:rsidRPr="00A50053">
        <w:rPr>
          <w:rFonts w:eastAsiaTheme="minorEastAsia" w:cs="Arial"/>
          <w:kern w:val="24"/>
          <w:szCs w:val="28"/>
          <w:lang w:eastAsia="en-GB"/>
          <w14:ligatures w14:val="none"/>
        </w:rPr>
        <w:t>Accessed 27 October 2025</w:t>
      </w:r>
      <w:r>
        <w:rPr>
          <w:rFonts w:eastAsiaTheme="minorEastAsia" w:cs="Arial"/>
          <w:kern w:val="24"/>
          <w:szCs w:val="28"/>
          <w:lang w:eastAsia="en-GB"/>
          <w14:ligatures w14:val="none"/>
        </w:rPr>
        <w:t>)</w:t>
      </w:r>
      <w:r w:rsidRPr="00A50053">
        <w:rPr>
          <w:rFonts w:eastAsiaTheme="minorEastAsia" w:cs="Arial"/>
          <w:kern w:val="24"/>
          <w:szCs w:val="28"/>
          <w:lang w:eastAsia="en-GB"/>
          <w14:ligatures w14:val="none"/>
        </w:rPr>
        <w:t>.</w:t>
      </w:r>
    </w:p>
    <w:p w14:paraId="138A472F" w14:textId="77777777" w:rsidR="00B536DD" w:rsidRDefault="00B536DD" w:rsidP="00B536DD">
      <w:pPr>
        <w:spacing w:line="276" w:lineRule="auto"/>
        <w:contextualSpacing/>
        <w:rPr>
          <w:rFonts w:eastAsiaTheme="minorEastAsia" w:cs="Arial"/>
          <w:kern w:val="24"/>
          <w:szCs w:val="28"/>
          <w:lang w:eastAsia="en-GB"/>
          <w14:ligatures w14:val="none"/>
        </w:rPr>
      </w:pPr>
    </w:p>
    <w:p w14:paraId="3AD9A2BA" w14:textId="171DCE45" w:rsidR="00B536DD" w:rsidRDefault="00B536DD" w:rsidP="00B536DD">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Transport Committee (2025) </w:t>
      </w:r>
      <w:r w:rsidRPr="00B46ED0">
        <w:rPr>
          <w:rFonts w:eastAsiaTheme="minorEastAsia" w:cs="Arial"/>
          <w:i/>
          <w:iCs/>
          <w:kern w:val="24"/>
          <w:szCs w:val="28"/>
          <w:lang w:eastAsia="en-GB"/>
          <w14:ligatures w14:val="none"/>
        </w:rPr>
        <w:t>Access denied: rights versus reality in disabled people’s access to transport.</w:t>
      </w:r>
      <w:r>
        <w:rPr>
          <w:rFonts w:eastAsiaTheme="minorEastAsia" w:cs="Arial"/>
          <w:kern w:val="24"/>
          <w:szCs w:val="28"/>
          <w:lang w:eastAsia="en-GB"/>
          <w14:ligatures w14:val="none"/>
        </w:rPr>
        <w:t xml:space="preserve"> London: House of Commons. Available at: </w:t>
      </w:r>
      <w:hyperlink r:id="rId25" w:history="1">
        <w:r w:rsidR="006D7E82" w:rsidRPr="00074E2D">
          <w:rPr>
            <w:rStyle w:val="Hyperlink"/>
            <w:rFonts w:eastAsiaTheme="minorEastAsia" w:cs="Arial"/>
            <w:kern w:val="24"/>
            <w:szCs w:val="28"/>
            <w:lang w:eastAsia="en-GB"/>
            <w14:ligatures w14:val="none"/>
          </w:rPr>
          <w:t>https://committees.parliament.uk/publications/47122/documents/244036/default/</w:t>
        </w:r>
      </w:hyperlink>
      <w:r w:rsidR="006D7E82">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21 October 2025).</w:t>
      </w:r>
    </w:p>
    <w:p w14:paraId="4A448C71" w14:textId="77777777" w:rsidR="00B536DD" w:rsidRDefault="00B536DD" w:rsidP="00B536DD">
      <w:pPr>
        <w:pStyle w:val="Heading3"/>
        <w:rPr>
          <w:lang w:eastAsia="en-GB"/>
        </w:rPr>
      </w:pPr>
      <w:bookmarkStart w:id="14" w:name="_Toc213311104"/>
      <w:r>
        <w:rPr>
          <w:lang w:eastAsia="en-GB"/>
        </w:rPr>
        <w:t>Charity-authored publication</w:t>
      </w:r>
      <w:bookmarkEnd w:id="14"/>
    </w:p>
    <w:p w14:paraId="42CCA0D8" w14:textId="424FFB0E"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Scope (2023) </w:t>
      </w:r>
      <w:r w:rsidRPr="00285004">
        <w:rPr>
          <w:rFonts w:eastAsiaTheme="minorEastAsia" w:cs="Arial"/>
          <w:i/>
          <w:iCs/>
          <w:kern w:val="24"/>
          <w:szCs w:val="28"/>
          <w:lang w:eastAsia="en-GB"/>
          <w14:ligatures w14:val="none"/>
        </w:rPr>
        <w:t>The Purple Pound</w:t>
      </w:r>
      <w:r w:rsidRPr="00285004">
        <w:rPr>
          <w:rFonts w:eastAsiaTheme="minorEastAsia" w:cs="Arial"/>
          <w:kern w:val="24"/>
          <w:szCs w:val="28"/>
          <w:lang w:eastAsia="en-GB"/>
          <w14:ligatures w14:val="none"/>
        </w:rPr>
        <w:t xml:space="preserve">. London: Scope. Available at: </w:t>
      </w:r>
      <w:hyperlink r:id="rId26" w:history="1">
        <w:r w:rsidR="006D7E82" w:rsidRPr="00074E2D">
          <w:rPr>
            <w:rStyle w:val="Hyperlink"/>
            <w:rFonts w:eastAsiaTheme="minorEastAsia" w:cs="Arial"/>
            <w:kern w:val="24"/>
            <w:szCs w:val="28"/>
            <w:lang w:eastAsia="en-GB"/>
            <w14:ligatures w14:val="none"/>
          </w:rPr>
          <w:t>https://www.scope.org.uk/media/purple-pound/</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158001CC" w14:textId="77777777" w:rsidR="00B536DD" w:rsidRDefault="00B536DD" w:rsidP="006D7E82">
      <w:pPr>
        <w:pStyle w:val="Heading2"/>
      </w:pPr>
      <w:bookmarkStart w:id="15" w:name="_Toc213311105"/>
      <w:r>
        <w:t>Academic papers</w:t>
      </w:r>
      <w:bookmarkEnd w:id="15"/>
    </w:p>
    <w:p w14:paraId="6AD1A91A" w14:textId="77777777" w:rsidR="00B536DD" w:rsidRDefault="00B536DD" w:rsidP="00B536DD">
      <w:pPr>
        <w:spacing w:line="276" w:lineRule="auto"/>
        <w:contextualSpacing/>
        <w:rPr>
          <w:rFonts w:eastAsiaTheme="minorEastAsia" w:cs="Arial"/>
          <w:kern w:val="24"/>
          <w:szCs w:val="28"/>
          <w:lang w:eastAsia="en-GB"/>
          <w14:ligatures w14:val="none"/>
        </w:rPr>
      </w:pPr>
      <w:r w:rsidRPr="00CB41D8">
        <w:rPr>
          <w:rFonts w:eastAsiaTheme="minorEastAsia" w:cs="Arial"/>
          <w:kern w:val="24"/>
          <w:szCs w:val="28"/>
          <w:lang w:eastAsia="en-GB"/>
          <w14:ligatures w14:val="none"/>
        </w:rPr>
        <w:t xml:space="preserve">Duckenfield, T. (2017) </w:t>
      </w:r>
      <w:r w:rsidRPr="00CB41D8">
        <w:rPr>
          <w:rFonts w:eastAsiaTheme="minorEastAsia" w:cs="Arial"/>
          <w:i/>
          <w:iCs/>
          <w:kern w:val="24"/>
          <w:szCs w:val="28"/>
          <w:lang w:eastAsia="en-GB"/>
          <w14:ligatures w14:val="none"/>
        </w:rPr>
        <w:t>The Benefits of Improving Access to the United Kingdom Rail Network via the Access for All Programme</w:t>
      </w:r>
      <w:r w:rsidRPr="00CB41D8">
        <w:rPr>
          <w:rFonts w:eastAsiaTheme="minorEastAsia" w:cs="Arial"/>
          <w:kern w:val="24"/>
          <w:szCs w:val="28"/>
          <w:lang w:eastAsia="en-GB"/>
          <w14:ligatures w14:val="none"/>
        </w:rPr>
        <w:t>. ITF Discussion Paper No. 2017-02. Paris: OECD/International Transport Forum.</w:t>
      </w:r>
      <w:r>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w:t>
      </w:r>
      <w:r>
        <w:rPr>
          <w:rFonts w:eastAsiaTheme="minorEastAsia" w:cs="Arial"/>
          <w:kern w:val="24"/>
          <w:szCs w:val="28"/>
          <w:lang w:eastAsia="en-GB"/>
          <w14:ligatures w14:val="none"/>
        </w:rPr>
        <w:t>1</w:t>
      </w:r>
      <w:r w:rsidRPr="00285004">
        <w:rPr>
          <w:rFonts w:eastAsiaTheme="minorEastAsia" w:cs="Arial"/>
          <w:kern w:val="24"/>
          <w:szCs w:val="28"/>
          <w:lang w:eastAsia="en-GB"/>
          <w14:ligatures w14:val="none"/>
        </w:rPr>
        <w:t xml:space="preserve"> October 2025).</w:t>
      </w:r>
    </w:p>
    <w:p w14:paraId="08513AEB" w14:textId="77777777" w:rsidR="00B536DD" w:rsidRDefault="00B536DD" w:rsidP="00B536DD">
      <w:pPr>
        <w:spacing w:line="276" w:lineRule="auto"/>
        <w:contextualSpacing/>
        <w:rPr>
          <w:rFonts w:eastAsiaTheme="minorEastAsia" w:cs="Arial"/>
          <w:kern w:val="24"/>
          <w:szCs w:val="28"/>
          <w:lang w:eastAsia="en-GB"/>
          <w14:ligatures w14:val="none"/>
        </w:rPr>
      </w:pPr>
    </w:p>
    <w:p w14:paraId="2F4DEF36" w14:textId="11F79883" w:rsidR="00B536DD"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Mackett, R.L. (2014) ‘The health implications of inequalities in transport’, </w:t>
      </w:r>
      <w:r w:rsidRPr="00285004">
        <w:rPr>
          <w:rFonts w:eastAsiaTheme="minorEastAsia" w:cs="Arial"/>
          <w:i/>
          <w:iCs/>
          <w:kern w:val="24"/>
          <w:szCs w:val="28"/>
          <w:lang w:eastAsia="en-GB"/>
          <w14:ligatures w14:val="none"/>
        </w:rPr>
        <w:t>Journal of Transport &amp; Health</w:t>
      </w:r>
      <w:r w:rsidRPr="00285004">
        <w:rPr>
          <w:rFonts w:eastAsiaTheme="minorEastAsia" w:cs="Arial"/>
          <w:kern w:val="24"/>
          <w:szCs w:val="28"/>
          <w:lang w:eastAsia="en-GB"/>
          <w14:ligatures w14:val="none"/>
        </w:rPr>
        <w:t xml:space="preserve">, 1(3), pp. 202–209. Available at: </w:t>
      </w:r>
      <w:hyperlink r:id="rId27" w:history="1">
        <w:r w:rsidR="006D7E82" w:rsidRPr="00074E2D">
          <w:rPr>
            <w:rStyle w:val="Hyperlink"/>
            <w:rFonts w:eastAsiaTheme="minorEastAsia" w:cs="Arial"/>
            <w:kern w:val="24"/>
            <w:szCs w:val="28"/>
            <w:lang w:eastAsia="en-GB"/>
            <w14:ligatures w14:val="none"/>
          </w:rPr>
          <w:t>https://doi.org/10.1016/j.jth.2014.07.001</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5BDEBA0A" w14:textId="77777777" w:rsidR="00B536DD" w:rsidRDefault="00B536DD" w:rsidP="00B536DD">
      <w:pPr>
        <w:spacing w:line="276" w:lineRule="auto"/>
        <w:contextualSpacing/>
        <w:rPr>
          <w:rFonts w:eastAsiaTheme="minorEastAsia" w:cs="Arial"/>
          <w:kern w:val="24"/>
          <w:szCs w:val="28"/>
          <w:lang w:eastAsia="en-GB"/>
          <w14:ligatures w14:val="none"/>
        </w:rPr>
      </w:pPr>
    </w:p>
    <w:p w14:paraId="0A940028" w14:textId="71504E7A"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Lucas, K. (2012) ‘Transport and social exclusion: Where are we now?’, </w:t>
      </w:r>
      <w:r w:rsidRPr="00285004">
        <w:rPr>
          <w:rFonts w:eastAsiaTheme="minorEastAsia" w:cs="Arial"/>
          <w:i/>
          <w:iCs/>
          <w:kern w:val="24"/>
          <w:szCs w:val="28"/>
          <w:lang w:eastAsia="en-GB"/>
          <w14:ligatures w14:val="none"/>
        </w:rPr>
        <w:t>Transport Policy</w:t>
      </w:r>
      <w:r w:rsidRPr="00285004">
        <w:rPr>
          <w:rFonts w:eastAsiaTheme="minorEastAsia" w:cs="Arial"/>
          <w:kern w:val="24"/>
          <w:szCs w:val="28"/>
          <w:lang w:eastAsia="en-GB"/>
          <w14:ligatures w14:val="none"/>
        </w:rPr>
        <w:t xml:space="preserve">, 20, pp. 105–113. Available at: </w:t>
      </w:r>
      <w:hyperlink r:id="rId28" w:history="1">
        <w:r w:rsidR="006D7E82" w:rsidRPr="00074E2D">
          <w:rPr>
            <w:rStyle w:val="Hyperlink"/>
            <w:rFonts w:eastAsiaTheme="minorEastAsia" w:cs="Arial"/>
            <w:kern w:val="24"/>
            <w:szCs w:val="28"/>
            <w:lang w:eastAsia="en-GB"/>
            <w14:ligatures w14:val="none"/>
          </w:rPr>
          <w:t>https://doi.org/10.1016/j.tranpol.2012.01.013</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6AD6AEEF" w14:textId="77777777" w:rsidR="00B536DD" w:rsidRPr="00285004" w:rsidRDefault="00B536DD" w:rsidP="00B536DD">
      <w:pPr>
        <w:spacing w:line="276" w:lineRule="auto"/>
        <w:contextualSpacing/>
        <w:rPr>
          <w:rFonts w:eastAsiaTheme="minorEastAsia" w:cs="Arial"/>
          <w:kern w:val="24"/>
          <w:szCs w:val="28"/>
          <w:lang w:eastAsia="en-GB"/>
          <w14:ligatures w14:val="none"/>
        </w:rPr>
      </w:pPr>
    </w:p>
    <w:p w14:paraId="4901EDB3" w14:textId="77777777" w:rsidR="00B536DD" w:rsidRDefault="00B536DD" w:rsidP="00B536DD">
      <w:pPr>
        <w:spacing w:line="276" w:lineRule="auto"/>
        <w:contextualSpacing/>
        <w:rPr>
          <w:rFonts w:eastAsiaTheme="minorEastAsia" w:cs="Arial"/>
          <w:kern w:val="24"/>
          <w:szCs w:val="28"/>
          <w:lang w:eastAsia="en-GB"/>
          <w14:ligatures w14:val="none"/>
        </w:rPr>
      </w:pPr>
      <w:r w:rsidRPr="00C870F6">
        <w:rPr>
          <w:rFonts w:eastAsiaTheme="minorEastAsia" w:cs="Arial"/>
          <w:kern w:val="24"/>
          <w:szCs w:val="28"/>
          <w:lang w:eastAsia="en-GB"/>
          <w14:ligatures w14:val="none"/>
        </w:rPr>
        <w:t xml:space="preserve">Rebstock, M. (2017) </w:t>
      </w:r>
      <w:r w:rsidRPr="00C870F6">
        <w:rPr>
          <w:rFonts w:eastAsiaTheme="minorEastAsia" w:cs="Arial"/>
          <w:i/>
          <w:iCs/>
          <w:kern w:val="24"/>
          <w:szCs w:val="28"/>
          <w:lang w:eastAsia="en-GB"/>
          <w14:ligatures w14:val="none"/>
        </w:rPr>
        <w:t>Economic benefits of improved accessibility to transport systems and the role of transport in fostering tourism for all</w:t>
      </w:r>
      <w:r w:rsidRPr="00C870F6">
        <w:rPr>
          <w:rFonts w:eastAsiaTheme="minorEastAsia" w:cs="Arial"/>
          <w:kern w:val="24"/>
          <w:szCs w:val="28"/>
          <w:lang w:eastAsia="en-GB"/>
          <w14:ligatures w14:val="none"/>
        </w:rPr>
        <w:t xml:space="preserve"> (ITF Discussion Paper No. 2017-04). Paris: OECD/International Transport Forum.</w:t>
      </w:r>
      <w:r>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w:t>
      </w:r>
      <w:r>
        <w:rPr>
          <w:rFonts w:eastAsiaTheme="minorEastAsia" w:cs="Arial"/>
          <w:kern w:val="24"/>
          <w:szCs w:val="28"/>
          <w:lang w:eastAsia="en-GB"/>
          <w14:ligatures w14:val="none"/>
        </w:rPr>
        <w:t>1</w:t>
      </w:r>
      <w:r w:rsidRPr="00285004">
        <w:rPr>
          <w:rFonts w:eastAsiaTheme="minorEastAsia" w:cs="Arial"/>
          <w:kern w:val="24"/>
          <w:szCs w:val="28"/>
          <w:lang w:eastAsia="en-GB"/>
          <w14:ligatures w14:val="none"/>
        </w:rPr>
        <w:t xml:space="preserve"> October 2025).</w:t>
      </w:r>
    </w:p>
    <w:p w14:paraId="6A08D500" w14:textId="77777777" w:rsidR="00B536DD" w:rsidRDefault="00B536DD" w:rsidP="00B536DD">
      <w:pPr>
        <w:spacing w:line="276" w:lineRule="auto"/>
        <w:contextualSpacing/>
        <w:rPr>
          <w:rFonts w:eastAsiaTheme="minorEastAsia" w:cs="Arial"/>
          <w:kern w:val="24"/>
          <w:szCs w:val="28"/>
          <w:lang w:eastAsia="en-GB"/>
          <w14:ligatures w14:val="none"/>
        </w:rPr>
      </w:pPr>
    </w:p>
    <w:p w14:paraId="6FE04D32" w14:textId="77777777" w:rsidR="00B536DD" w:rsidRPr="00507053"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Martens, K. (2017) </w:t>
      </w:r>
      <w:r w:rsidRPr="00285004">
        <w:rPr>
          <w:rFonts w:eastAsiaTheme="minorEastAsia" w:cs="Arial"/>
          <w:i/>
          <w:iCs/>
          <w:kern w:val="24"/>
          <w:szCs w:val="28"/>
          <w:lang w:eastAsia="en-GB"/>
          <w14:ligatures w14:val="none"/>
        </w:rPr>
        <w:t>Transport Justice: Designing Fair Transportation Systems</w:t>
      </w:r>
      <w:r w:rsidRPr="00285004">
        <w:rPr>
          <w:rFonts w:eastAsiaTheme="minorEastAsia" w:cs="Arial"/>
          <w:kern w:val="24"/>
          <w:szCs w:val="28"/>
          <w:lang w:eastAsia="en-GB"/>
          <w14:ligatures w14:val="none"/>
        </w:rPr>
        <w:t>. New York: Routledge.</w:t>
      </w:r>
    </w:p>
    <w:p w14:paraId="0AFE5C19" w14:textId="77777777" w:rsidR="00B536DD" w:rsidRDefault="00B536DD" w:rsidP="00B536DD">
      <w:pPr>
        <w:spacing w:line="276" w:lineRule="auto"/>
        <w:contextualSpacing/>
        <w:rPr>
          <w:rFonts w:eastAsiaTheme="minorEastAsia" w:cs="Arial"/>
          <w:kern w:val="24"/>
          <w:szCs w:val="28"/>
          <w:lang w:eastAsia="en-GB"/>
          <w14:ligatures w14:val="none"/>
        </w:rPr>
      </w:pPr>
    </w:p>
    <w:p w14:paraId="6EC6FB58" w14:textId="7CE1E183" w:rsidR="00B536DD" w:rsidRPr="001F644B" w:rsidRDefault="00B536DD" w:rsidP="001F644B">
      <w:pPr>
        <w:spacing w:line="276" w:lineRule="auto"/>
        <w:contextualSpacing/>
        <w:rPr>
          <w:rStyle w:val="eop"/>
          <w:rFonts w:eastAsiaTheme="minorEastAsia" w:cs="Arial"/>
          <w:kern w:val="24"/>
          <w:szCs w:val="28"/>
          <w:lang w:eastAsia="en-GB"/>
          <w14:ligatures w14:val="none"/>
        </w:rPr>
      </w:pPr>
      <w:r w:rsidRPr="00836713">
        <w:rPr>
          <w:rFonts w:eastAsiaTheme="minorEastAsia" w:cs="Arial"/>
          <w:kern w:val="24"/>
          <w:szCs w:val="28"/>
          <w:lang w:eastAsia="en-GB"/>
          <w14:ligatures w14:val="none"/>
        </w:rPr>
        <w:t xml:space="preserve">Yin, M., Shaewitz, D., Overton, C. &amp; Smith, D.-M. (2018) </w:t>
      </w:r>
      <w:r w:rsidRPr="00836713">
        <w:rPr>
          <w:rFonts w:eastAsiaTheme="minorEastAsia" w:cs="Arial"/>
          <w:i/>
          <w:iCs/>
          <w:kern w:val="24"/>
          <w:szCs w:val="28"/>
          <w:lang w:eastAsia="en-GB"/>
          <w14:ligatures w14:val="none"/>
        </w:rPr>
        <w:t>A Hidden Market: The Purchasing Power of Working-Age Adults with Disabilities</w:t>
      </w:r>
      <w:r w:rsidRPr="00836713">
        <w:rPr>
          <w:rFonts w:eastAsiaTheme="minorEastAsia" w:cs="Arial"/>
          <w:kern w:val="24"/>
          <w:szCs w:val="28"/>
          <w:lang w:eastAsia="en-GB"/>
          <w14:ligatures w14:val="none"/>
        </w:rPr>
        <w:t xml:space="preserve">. Washington, DC: American Institutes for Research. Available at: </w:t>
      </w:r>
      <w:hyperlink r:id="rId29" w:history="1">
        <w:r w:rsidR="006D7E82" w:rsidRPr="00074E2D">
          <w:rPr>
            <w:rStyle w:val="Hyperlink"/>
            <w:rFonts w:eastAsiaTheme="minorEastAsia" w:cs="Arial"/>
            <w:kern w:val="24"/>
            <w:szCs w:val="28"/>
            <w:lang w:eastAsia="en-GB"/>
            <w14:ligatures w14:val="none"/>
          </w:rPr>
          <w:t>https://accessible-techcomm.org/wp-content/uploads/Hidden-Market-Spending-Power-of-People-with-Disabilities-April-2018.pdf</w:t>
        </w:r>
      </w:hyperlink>
      <w:r w:rsidR="006D7E82">
        <w:rPr>
          <w:rFonts w:eastAsiaTheme="minorEastAsia" w:cs="Arial"/>
          <w:kern w:val="24"/>
          <w:szCs w:val="28"/>
          <w:lang w:eastAsia="en-GB"/>
          <w14:ligatures w14:val="none"/>
        </w:rPr>
        <w:t xml:space="preserve"> </w:t>
      </w:r>
      <w:r w:rsidRPr="00836713">
        <w:rPr>
          <w:rFonts w:eastAsiaTheme="minorEastAsia" w:cs="Arial"/>
          <w:kern w:val="24"/>
          <w:szCs w:val="28"/>
          <w:lang w:eastAsia="en-GB"/>
          <w14:ligatures w14:val="none"/>
        </w:rPr>
        <w:t>(Accessed: 21 October 2025).</w:t>
      </w:r>
    </w:p>
    <w:p w14:paraId="7D74AA66" w14:textId="74F9F08E" w:rsidR="00B536DD" w:rsidRPr="006D7E82" w:rsidRDefault="00B536DD" w:rsidP="006D7E82">
      <w:pPr>
        <w:pStyle w:val="Heading1"/>
        <w:rPr>
          <w:rFonts w:eastAsia="Times New Roman" w:cs="Arial"/>
          <w:kern w:val="0"/>
          <w:sz w:val="36"/>
          <w:szCs w:val="32"/>
          <w:lang w:eastAsia="en-GB"/>
          <w14:ligatures w14:val="none"/>
        </w:rPr>
      </w:pPr>
      <w:bookmarkStart w:id="16" w:name="_Toc213311106"/>
      <w:r w:rsidRPr="006D5BC3">
        <w:rPr>
          <w:rStyle w:val="eop"/>
        </w:rPr>
        <w:t>9</w:t>
      </w:r>
      <w:r w:rsidRPr="006D5BC3">
        <w:rPr>
          <w:rStyle w:val="eop"/>
        </w:rPr>
        <w:tab/>
      </w:r>
      <w:r w:rsidRPr="006D5BC3">
        <w:rPr>
          <w:rStyle w:val="normaltextrun"/>
        </w:rPr>
        <w:t>Terms used in this report</w:t>
      </w:r>
      <w:bookmarkEnd w:id="16"/>
      <w:r w:rsidRPr="006D5BC3">
        <w:rPr>
          <w:rStyle w:val="eop"/>
        </w:rPr>
        <w:t> </w:t>
      </w:r>
    </w:p>
    <w:p w14:paraId="7FBA1452"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 xml:space="preserve">Appraisal </w:t>
      </w:r>
      <w:r>
        <w:rPr>
          <w:rFonts w:eastAsia="Times New Roman" w:cs="Arial"/>
          <w:kern w:val="0"/>
          <w:szCs w:val="28"/>
          <w:lang w:eastAsia="en-GB"/>
          <w14:ligatures w14:val="none"/>
        </w:rPr>
        <w:t>– A systematic process used to assess the economic viability, feasibility and impacts of a project.</w:t>
      </w:r>
    </w:p>
    <w:p w14:paraId="20AA8501"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Appraisal Summary Table (AST)</w:t>
      </w:r>
      <w:r>
        <w:rPr>
          <w:rFonts w:eastAsia="Times New Roman" w:cs="Arial"/>
          <w:kern w:val="0"/>
          <w:szCs w:val="28"/>
          <w:lang w:eastAsia="en-GB"/>
          <w14:ligatures w14:val="none"/>
        </w:rPr>
        <w:t xml:space="preserve"> – A </w:t>
      </w:r>
      <w:r w:rsidRPr="004D1134">
        <w:rPr>
          <w:rFonts w:eastAsia="Times New Roman" w:cs="Arial"/>
          <w:kern w:val="0"/>
          <w:szCs w:val="28"/>
          <w:lang w:eastAsia="en-GB"/>
          <w14:ligatures w14:val="none"/>
        </w:rPr>
        <w:t>table that shows the impacts of a project, including social, environmental, and economic effects</w:t>
      </w:r>
      <w:r>
        <w:rPr>
          <w:rFonts w:eastAsia="Times New Roman" w:cs="Arial"/>
          <w:kern w:val="0"/>
          <w:szCs w:val="28"/>
          <w:lang w:eastAsia="en-GB"/>
          <w14:ligatures w14:val="none"/>
        </w:rPr>
        <w:t>, typically appended to the business case.</w:t>
      </w:r>
    </w:p>
    <w:p w14:paraId="48BD2A8A"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Benefit-Cost Ratio (BCR)</w:t>
      </w:r>
      <w:r>
        <w:rPr>
          <w:rFonts w:eastAsia="Times New Roman" w:cs="Arial"/>
          <w:kern w:val="0"/>
          <w:szCs w:val="28"/>
          <w:lang w:eastAsia="en-GB"/>
          <w14:ligatures w14:val="none"/>
        </w:rPr>
        <w:t xml:space="preserve"> – A metric that compares expected benefits of a project to its total costs. A higher number means better value. </w:t>
      </w:r>
    </w:p>
    <w:p w14:paraId="1C15CC4C" w14:textId="77777777" w:rsidR="00B536DD" w:rsidRPr="006D5BC3" w:rsidRDefault="00B536DD" w:rsidP="00B536DD">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Business Case</w:t>
      </w:r>
      <w:r>
        <w:rPr>
          <w:rFonts w:eastAsia="Times New Roman" w:cs="Arial"/>
          <w:kern w:val="0"/>
          <w:szCs w:val="28"/>
          <w:lang w:eastAsia="en-GB"/>
          <w14:ligatures w14:val="none"/>
        </w:rPr>
        <w:t xml:space="preserve"> – A document that explains why a project should be funded. It explains the need for the investment, benefits, costs and how the project will be delivered. </w:t>
      </w:r>
    </w:p>
    <w:p w14:paraId="0B4B4320"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Distributional Impact</w:t>
      </w:r>
      <w:r>
        <w:rPr>
          <w:rFonts w:eastAsia="Times New Roman" w:cs="Arial"/>
          <w:kern w:val="0"/>
          <w:szCs w:val="28"/>
          <w:lang w:eastAsia="en-GB"/>
          <w14:ligatures w14:val="none"/>
        </w:rPr>
        <w:t xml:space="preserve"> – How the effects of a project are spread across different groups of people, like disabled or low-income users. </w:t>
      </w:r>
    </w:p>
    <w:p w14:paraId="615AC8FD"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HM Treasury</w:t>
      </w:r>
      <w:r>
        <w:rPr>
          <w:rFonts w:eastAsia="Times New Roman" w:cs="Arial"/>
          <w:kern w:val="0"/>
          <w:szCs w:val="28"/>
          <w:lang w:eastAsia="en-GB"/>
          <w14:ligatures w14:val="none"/>
        </w:rPr>
        <w:t xml:space="preserve"> – The UK Government department </w:t>
      </w:r>
      <w:r w:rsidRPr="00AE1FD2">
        <w:rPr>
          <w:rFonts w:eastAsia="Times New Roman" w:cs="Arial"/>
          <w:kern w:val="0"/>
          <w:szCs w:val="28"/>
          <w:lang w:eastAsia="en-GB"/>
          <w14:ligatures w14:val="none"/>
        </w:rPr>
        <w:t>responsible for managing public money and setting rules for how it should be spent.</w:t>
      </w:r>
    </w:p>
    <w:p w14:paraId="72DD6BBF"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Indicative BCR</w:t>
      </w:r>
      <w:r>
        <w:rPr>
          <w:rFonts w:eastAsia="Times New Roman" w:cs="Arial"/>
          <w:kern w:val="0"/>
          <w:szCs w:val="28"/>
          <w:lang w:eastAsia="en-GB"/>
          <w14:ligatures w14:val="none"/>
        </w:rPr>
        <w:t xml:space="preserve"> – A newer way to include benefits that are hard to measure in monetary terms.</w:t>
      </w:r>
    </w:p>
    <w:p w14:paraId="337B766C"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Inclusive Transport Strategy (ITS)</w:t>
      </w:r>
      <w:r>
        <w:rPr>
          <w:rFonts w:eastAsia="Times New Roman" w:cs="Arial"/>
          <w:kern w:val="0"/>
          <w:szCs w:val="28"/>
          <w:lang w:eastAsia="en-GB"/>
          <w14:ligatures w14:val="none"/>
        </w:rPr>
        <w:t xml:space="preserve"> – </w:t>
      </w:r>
      <w:r w:rsidRPr="00C37FCB">
        <w:rPr>
          <w:rFonts w:eastAsia="Times New Roman" w:cs="Arial"/>
          <w:kern w:val="0"/>
          <w:szCs w:val="28"/>
          <w:lang w:eastAsia="en-GB"/>
          <w14:ligatures w14:val="none"/>
        </w:rPr>
        <w:t>A government plan to make transport more accessible for disabled people by 2030.</w:t>
      </w:r>
    </w:p>
    <w:p w14:paraId="227AE6C7"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Place-based Business Case</w:t>
      </w:r>
      <w:r>
        <w:rPr>
          <w:rFonts w:eastAsia="Times New Roman" w:cs="Arial"/>
          <w:kern w:val="0"/>
          <w:szCs w:val="28"/>
          <w:lang w:eastAsia="en-GB"/>
          <w14:ligatures w14:val="none"/>
        </w:rPr>
        <w:t xml:space="preserve"> – A business case that focuses on </w:t>
      </w:r>
      <w:r w:rsidRPr="006650CB">
        <w:rPr>
          <w:rFonts w:eastAsia="Times New Roman" w:cs="Arial"/>
          <w:kern w:val="0"/>
          <w:szCs w:val="28"/>
          <w:lang w:eastAsia="en-GB"/>
          <w14:ligatures w14:val="none"/>
        </w:rPr>
        <w:t>the needs and benefits for a specific local area or community.</w:t>
      </w:r>
    </w:p>
    <w:p w14:paraId="5FF41617"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Purple Pound</w:t>
      </w:r>
      <w:r>
        <w:rPr>
          <w:rFonts w:eastAsia="Times New Roman" w:cs="Arial"/>
          <w:kern w:val="0"/>
          <w:szCs w:val="28"/>
          <w:lang w:eastAsia="en-GB"/>
          <w14:ligatures w14:val="none"/>
        </w:rPr>
        <w:t xml:space="preserve"> – </w:t>
      </w:r>
      <w:r w:rsidRPr="00197D72">
        <w:rPr>
          <w:rFonts w:eastAsia="Times New Roman" w:cs="Arial"/>
          <w:kern w:val="0"/>
          <w:szCs w:val="28"/>
          <w:lang w:eastAsia="en-GB"/>
          <w14:ligatures w14:val="none"/>
        </w:rPr>
        <w:t>The spending power of disabled people and their households in the UK, estimated at £274 billion per year.</w:t>
      </w:r>
    </w:p>
    <w:p w14:paraId="32005A3B" w14:textId="77777777" w:rsidR="00B536DD" w:rsidRDefault="00B536DD" w:rsidP="00B536DD">
      <w:pPr>
        <w:spacing w:line="276" w:lineRule="auto"/>
        <w:rPr>
          <w:rFonts w:eastAsia="Times New Roman" w:cs="Arial"/>
          <w:kern w:val="0"/>
          <w:szCs w:val="28"/>
          <w:lang w:eastAsia="en-GB"/>
          <w14:ligatures w14:val="none"/>
        </w:rPr>
      </w:pPr>
      <w:r w:rsidRPr="004C3FE0">
        <w:rPr>
          <w:rFonts w:eastAsia="Times New Roman" w:cs="Arial"/>
          <w:b/>
          <w:bCs/>
          <w:kern w:val="0"/>
          <w:szCs w:val="28"/>
          <w:lang w:eastAsia="en-GB"/>
          <w14:ligatures w14:val="none"/>
        </w:rPr>
        <w:t>Scorecard</w:t>
      </w:r>
      <w:r w:rsidRPr="009649F0">
        <w:rPr>
          <w:rFonts w:eastAsia="Times New Roman" w:cs="Arial"/>
          <w:b/>
          <w:bCs/>
          <w:kern w:val="0"/>
          <w:szCs w:val="28"/>
          <w:lang w:eastAsia="en-GB"/>
          <w14:ligatures w14:val="none"/>
        </w:rPr>
        <w:t xml:space="preserve"> </w:t>
      </w:r>
      <w:r>
        <w:rPr>
          <w:rFonts w:eastAsia="Times New Roman" w:cs="Arial"/>
          <w:kern w:val="0"/>
          <w:szCs w:val="28"/>
          <w:lang w:eastAsia="en-GB"/>
          <w14:ligatures w14:val="none"/>
        </w:rPr>
        <w:t xml:space="preserve">- </w:t>
      </w:r>
      <w:r w:rsidRPr="004C3FE0">
        <w:rPr>
          <w:rFonts w:eastAsia="Times New Roman" w:cs="Arial"/>
          <w:kern w:val="0"/>
          <w:szCs w:val="28"/>
          <w:lang w:eastAsia="en-GB"/>
          <w14:ligatures w14:val="none"/>
        </w:rPr>
        <w:t>A tool used to measure and track performance across different areas.</w:t>
      </w:r>
    </w:p>
    <w:p w14:paraId="52925629"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The Five Case Model</w:t>
      </w:r>
      <w:r>
        <w:rPr>
          <w:rFonts w:eastAsia="Times New Roman" w:cs="Arial"/>
          <w:kern w:val="0"/>
          <w:szCs w:val="28"/>
          <w:lang w:eastAsia="en-GB"/>
          <w14:ligatures w14:val="none"/>
        </w:rPr>
        <w:t xml:space="preserve"> - </w:t>
      </w:r>
      <w:r w:rsidRPr="004D14C0">
        <w:rPr>
          <w:rFonts w:eastAsia="Times New Roman" w:cs="Arial"/>
          <w:kern w:val="0"/>
          <w:szCs w:val="28"/>
          <w:lang w:eastAsia="en-GB"/>
          <w14:ligatures w14:val="none"/>
        </w:rPr>
        <w:t xml:space="preserve">The UK Government’s method for checking if a project is a good use of public money. It looks at five </w:t>
      </w:r>
      <w:r>
        <w:rPr>
          <w:rFonts w:eastAsia="Times New Roman" w:cs="Arial"/>
          <w:kern w:val="0"/>
          <w:szCs w:val="28"/>
          <w:lang w:eastAsia="en-GB"/>
          <w14:ligatures w14:val="none"/>
        </w:rPr>
        <w:t>dimensions</w:t>
      </w:r>
      <w:r w:rsidRPr="004D14C0">
        <w:rPr>
          <w:rFonts w:eastAsia="Times New Roman" w:cs="Arial"/>
          <w:kern w:val="0"/>
          <w:szCs w:val="28"/>
          <w:lang w:eastAsia="en-GB"/>
          <w14:ligatures w14:val="none"/>
        </w:rPr>
        <w:t>: strategic, economic, financial, commercial, and management.</w:t>
      </w:r>
    </w:p>
    <w:p w14:paraId="53003CBC"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The Green Book</w:t>
      </w:r>
      <w:r>
        <w:rPr>
          <w:rFonts w:eastAsia="Times New Roman" w:cs="Arial"/>
          <w:kern w:val="0"/>
          <w:szCs w:val="28"/>
          <w:lang w:eastAsia="en-GB"/>
          <w14:ligatures w14:val="none"/>
        </w:rPr>
        <w:t xml:space="preserve"> – HM Treasury guidance </w:t>
      </w:r>
      <w:r w:rsidRPr="003E7E13">
        <w:rPr>
          <w:rFonts w:eastAsia="Times New Roman" w:cs="Arial"/>
          <w:kern w:val="0"/>
          <w:szCs w:val="28"/>
          <w:lang w:eastAsia="en-GB"/>
          <w14:ligatures w14:val="none"/>
        </w:rPr>
        <w:t>on how to plan and assess public spending.</w:t>
      </w:r>
    </w:p>
    <w:p w14:paraId="4B26C9F8" w14:textId="77777777" w:rsidR="00B536DD" w:rsidRPr="006B6D37" w:rsidRDefault="00B536DD" w:rsidP="00B536DD">
      <w:pPr>
        <w:spacing w:line="276" w:lineRule="auto"/>
        <w:rPr>
          <w:rFonts w:eastAsia="Times New Roman" w:cs="Arial"/>
          <w:kern w:val="0"/>
          <w:szCs w:val="28"/>
          <w:lang w:eastAsia="en-GB"/>
          <w14:ligatures w14:val="none"/>
        </w:rPr>
      </w:pPr>
      <w:r w:rsidRPr="00E54E06">
        <w:rPr>
          <w:rFonts w:eastAsia="Times New Roman" w:cs="Arial"/>
          <w:b/>
          <w:bCs/>
          <w:kern w:val="0"/>
          <w:szCs w:val="28"/>
          <w:lang w:eastAsia="en-GB"/>
          <w14:ligatures w14:val="none"/>
        </w:rPr>
        <w:t>The Green Book Review</w:t>
      </w:r>
      <w:r>
        <w:rPr>
          <w:rFonts w:eastAsia="Times New Roman" w:cs="Arial"/>
          <w:kern w:val="0"/>
          <w:szCs w:val="28"/>
          <w:lang w:eastAsia="en-GB"/>
          <w14:ligatures w14:val="none"/>
        </w:rPr>
        <w:t xml:space="preserve"> - </w:t>
      </w:r>
      <w:r w:rsidRPr="00E54E06">
        <w:rPr>
          <w:rFonts w:eastAsia="Times New Roman" w:cs="Arial"/>
          <w:kern w:val="0"/>
          <w:szCs w:val="28"/>
          <w:lang w:eastAsia="en-GB"/>
          <w14:ligatures w14:val="none"/>
        </w:rPr>
        <w:t>A 2025 review of the UK Government’s official guidance for public spending decisions.</w:t>
      </w:r>
    </w:p>
    <w:p w14:paraId="2A1F087C"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Transport Analysis Guidance (TAG)</w:t>
      </w:r>
      <w:r>
        <w:rPr>
          <w:rFonts w:eastAsia="Times New Roman" w:cs="Arial"/>
          <w:kern w:val="0"/>
          <w:szCs w:val="28"/>
          <w:lang w:eastAsia="en-GB"/>
          <w14:ligatures w14:val="none"/>
        </w:rPr>
        <w:t xml:space="preserve"> – UK Government guidance and best practice on how to assess transport projects. </w:t>
      </w:r>
    </w:p>
    <w:p w14:paraId="03954B47" w14:textId="77777777" w:rsidR="00B536DD" w:rsidRPr="00C012E2" w:rsidRDefault="00B536DD" w:rsidP="00B536DD">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Value for Money (VfM)</w:t>
      </w:r>
      <w:r>
        <w:rPr>
          <w:rFonts w:eastAsia="Times New Roman" w:cs="Arial"/>
          <w:kern w:val="0"/>
          <w:szCs w:val="28"/>
          <w:lang w:eastAsia="en-GB"/>
          <w14:ligatures w14:val="none"/>
        </w:rPr>
        <w:t xml:space="preserve"> – A way to check if the benefits of a project are worth the cost.</w:t>
      </w:r>
    </w:p>
    <w:p w14:paraId="2BBE25DC" w14:textId="3082E9D8" w:rsidR="009C5A2F" w:rsidRPr="000A03CB" w:rsidRDefault="009C5A2F" w:rsidP="000A03CB">
      <w:pPr>
        <w:spacing w:before="240" w:after="0"/>
        <w:ind w:left="360"/>
      </w:pPr>
    </w:p>
    <w:sectPr w:rsidR="009C5A2F" w:rsidRPr="000A03CB" w:rsidSect="00E4277B">
      <w:headerReference w:type="default" r:id="rId30"/>
      <w:footerReference w:type="even" r:id="rId31"/>
      <w:footerReference w:type="default" r:id="rId32"/>
      <w:headerReference w:type="first" r:id="rId33"/>
      <w:footerReference w:type="first" r:id="rId34"/>
      <w:pgSz w:w="11906" w:h="16838"/>
      <w:pgMar w:top="1253"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B599F" w14:textId="77777777" w:rsidR="00920621" w:rsidRDefault="00920621" w:rsidP="003F70B0">
      <w:r>
        <w:separator/>
      </w:r>
    </w:p>
  </w:endnote>
  <w:endnote w:type="continuationSeparator" w:id="0">
    <w:p w14:paraId="490389B9" w14:textId="77777777" w:rsidR="00920621" w:rsidRDefault="00920621" w:rsidP="003F70B0">
      <w:r>
        <w:continuationSeparator/>
      </w:r>
    </w:p>
  </w:endnote>
  <w:endnote w:type="continuationNotice" w:id="1">
    <w:p w14:paraId="2510DB77" w14:textId="77777777" w:rsidR="00920621" w:rsidRDefault="00920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altName w:val="Calibri"/>
    <w:charset w:val="4D"/>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Lexend" w:hAnsi="Lexend" w:cs="Times New Roman (Body CS)"/>
      </w:rPr>
      <w:id w:val="14506777"/>
      <w:docPartObj>
        <w:docPartGallery w:val="Page Numbers (Bottom of Page)"/>
        <w:docPartUnique/>
      </w:docPartObj>
    </w:sdtPr>
    <w:sdtContent>
      <w:p w14:paraId="6ABA4FC5" w14:textId="04525575" w:rsidR="003F70B0" w:rsidRPr="003F70B0" w:rsidRDefault="003F70B0" w:rsidP="007B57B5">
        <w:pPr>
          <w:pStyle w:val="Footer"/>
          <w:framePr w:wrap="none" w:vAnchor="text" w:hAnchor="margin" w:xAlign="center" w:y="1"/>
          <w:rPr>
            <w:rStyle w:val="PageNumber"/>
            <w:rFonts w:ascii="Lexend" w:hAnsi="Lexend" w:cs="Times New Roman (Body CS)"/>
          </w:rPr>
        </w:pPr>
        <w:r w:rsidRPr="002503EC">
          <w:rPr>
            <w:rStyle w:val="PageNumber"/>
            <w:rFonts w:cs="Arial"/>
            <w:b/>
            <w:bCs/>
          </w:rPr>
          <w:fldChar w:fldCharType="begin"/>
        </w:r>
        <w:r w:rsidRPr="002503EC">
          <w:rPr>
            <w:rStyle w:val="PageNumber"/>
            <w:rFonts w:cs="Arial"/>
            <w:b/>
            <w:bCs/>
          </w:rPr>
          <w:instrText xml:space="preserve"> PAGE </w:instrText>
        </w:r>
        <w:r w:rsidRPr="002503EC">
          <w:rPr>
            <w:rStyle w:val="PageNumber"/>
            <w:rFonts w:cs="Arial"/>
            <w:b/>
            <w:bCs/>
          </w:rPr>
          <w:fldChar w:fldCharType="separate"/>
        </w:r>
        <w:r w:rsidRPr="002503EC">
          <w:rPr>
            <w:rStyle w:val="PageNumber"/>
            <w:rFonts w:cs="Arial"/>
            <w:b/>
            <w:bCs/>
            <w:noProof/>
          </w:rPr>
          <w:t>1</w:t>
        </w:r>
        <w:r w:rsidRPr="002503EC">
          <w:rPr>
            <w:rStyle w:val="PageNumber"/>
            <w:rFonts w:cs="Arial"/>
            <w:b/>
            <w:bCs/>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E51F" w14:textId="386EF095" w:rsidR="0065531A" w:rsidRDefault="00D173D9">
    <w:pPr>
      <w:pStyle w:val="Footer"/>
    </w:pPr>
    <w:r>
      <w:rPr>
        <w:noProof/>
      </w:rPr>
      <w:drawing>
        <wp:inline distT="0" distB="0" distL="0" distR="0" wp14:anchorId="06AB698D" wp14:editId="7A8D16D7">
          <wp:extent cx="1513490" cy="1167935"/>
          <wp:effectExtent l="0" t="0" r="0" b="0"/>
          <wp:docPr id="1912304123" name="Picture 3" descr="National Centre for Accessible Transport text logo with red Asterix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04123" name="Picture 3" descr="National Centre for Accessible Transport text logo with red Asterix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775" cy="120828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D211" w14:textId="77777777" w:rsidR="00920621" w:rsidRDefault="00920621" w:rsidP="003F70B0">
      <w:r>
        <w:separator/>
      </w:r>
    </w:p>
  </w:footnote>
  <w:footnote w:type="continuationSeparator" w:id="0">
    <w:p w14:paraId="6C834EB5" w14:textId="77777777" w:rsidR="00920621" w:rsidRDefault="00920621" w:rsidP="003F70B0">
      <w:r>
        <w:continuationSeparator/>
      </w:r>
    </w:p>
  </w:footnote>
  <w:footnote w:type="continuationNotice" w:id="1">
    <w:p w14:paraId="412FDF38" w14:textId="77777777" w:rsidR="00920621" w:rsidRDefault="00920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FB36" w14:textId="15698D47" w:rsidR="006D5BC3" w:rsidRPr="00E45F88" w:rsidRDefault="006D5BC3" w:rsidP="2435ED4B">
    <w:pPr>
      <w:pStyle w:val="Header"/>
      <w:spacing w:after="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30E51" w14:textId="2B5DF585" w:rsidR="0065531A" w:rsidRDefault="00E0276F">
    <w:pPr>
      <w:pStyle w:val="Header"/>
    </w:pPr>
    <w:r>
      <w:rPr>
        <w:noProof/>
      </w:rPr>
      <w:drawing>
        <wp:anchor distT="0" distB="0" distL="114300" distR="114300" simplePos="0" relativeHeight="251658240" behindDoc="0" locked="0" layoutInCell="1" allowOverlap="1" wp14:anchorId="7108ACC0" wp14:editId="54E9B3AB">
          <wp:simplePos x="0" y="0"/>
          <wp:positionH relativeFrom="column">
            <wp:posOffset>2828925</wp:posOffset>
          </wp:positionH>
          <wp:positionV relativeFrom="paragraph">
            <wp:posOffset>-2487295</wp:posOffset>
          </wp:positionV>
          <wp:extent cx="6279515" cy="5818505"/>
          <wp:effectExtent l="0" t="0" r="0" b="0"/>
          <wp:wrapSquare wrapText="bothSides"/>
          <wp:docPr id="1012924052" name="Whee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052" name="Wheel.png">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79515" cy="58185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0CBD"/>
    <w:multiLevelType w:val="hybridMultilevel"/>
    <w:tmpl w:val="DAC2C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D51FC"/>
    <w:multiLevelType w:val="hybridMultilevel"/>
    <w:tmpl w:val="1194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418BE"/>
    <w:multiLevelType w:val="hybridMultilevel"/>
    <w:tmpl w:val="ED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B18"/>
    <w:multiLevelType w:val="hybridMultilevel"/>
    <w:tmpl w:val="E5DE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C057C"/>
    <w:multiLevelType w:val="hybridMultilevel"/>
    <w:tmpl w:val="2B7E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2F2608"/>
    <w:multiLevelType w:val="hybridMultilevel"/>
    <w:tmpl w:val="646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839EB"/>
    <w:multiLevelType w:val="hybridMultilevel"/>
    <w:tmpl w:val="326C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326C2"/>
    <w:multiLevelType w:val="hybridMultilevel"/>
    <w:tmpl w:val="DA0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038EB"/>
    <w:multiLevelType w:val="hybridMultilevel"/>
    <w:tmpl w:val="B8F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5641EBD"/>
    <w:multiLevelType w:val="hybridMultilevel"/>
    <w:tmpl w:val="F06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873A2"/>
    <w:multiLevelType w:val="hybridMultilevel"/>
    <w:tmpl w:val="D98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F7DE2"/>
    <w:multiLevelType w:val="hybridMultilevel"/>
    <w:tmpl w:val="3D0A0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C38ED"/>
    <w:multiLevelType w:val="hybridMultilevel"/>
    <w:tmpl w:val="1182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827B1"/>
    <w:multiLevelType w:val="hybridMultilevel"/>
    <w:tmpl w:val="EAC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40464"/>
    <w:multiLevelType w:val="hybridMultilevel"/>
    <w:tmpl w:val="2B34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606FA"/>
    <w:multiLevelType w:val="hybridMultilevel"/>
    <w:tmpl w:val="8AB6C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6187C"/>
    <w:multiLevelType w:val="hybridMultilevel"/>
    <w:tmpl w:val="E6D65934"/>
    <w:lvl w:ilvl="0" w:tplc="BD6EB35A">
      <w:start w:val="1"/>
      <w:numFmt w:val="bullet"/>
      <w:lvlText w:val="•"/>
      <w:lvlJc w:val="left"/>
      <w:pPr>
        <w:tabs>
          <w:tab w:val="num" w:pos="720"/>
        </w:tabs>
        <w:ind w:left="720" w:hanging="360"/>
      </w:pPr>
      <w:rPr>
        <w:rFonts w:ascii="Arial" w:hAnsi="Arial" w:cs="Times New Roman" w:hint="default"/>
      </w:rPr>
    </w:lvl>
    <w:lvl w:ilvl="1" w:tplc="3C1C8760">
      <w:start w:val="1"/>
      <w:numFmt w:val="bullet"/>
      <w:lvlText w:val="•"/>
      <w:lvlJc w:val="left"/>
      <w:pPr>
        <w:tabs>
          <w:tab w:val="num" w:pos="1440"/>
        </w:tabs>
        <w:ind w:left="1440" w:hanging="360"/>
      </w:pPr>
      <w:rPr>
        <w:rFonts w:ascii="Arial" w:hAnsi="Arial" w:cs="Times New Roman" w:hint="default"/>
      </w:rPr>
    </w:lvl>
    <w:lvl w:ilvl="2" w:tplc="FB8AA19A">
      <w:start w:val="1"/>
      <w:numFmt w:val="bullet"/>
      <w:lvlText w:val="•"/>
      <w:lvlJc w:val="left"/>
      <w:pPr>
        <w:tabs>
          <w:tab w:val="num" w:pos="2160"/>
        </w:tabs>
        <w:ind w:left="2160" w:hanging="360"/>
      </w:pPr>
      <w:rPr>
        <w:rFonts w:ascii="Arial" w:hAnsi="Arial" w:cs="Times New Roman" w:hint="default"/>
      </w:rPr>
    </w:lvl>
    <w:lvl w:ilvl="3" w:tplc="2376F010">
      <w:start w:val="1"/>
      <w:numFmt w:val="bullet"/>
      <w:lvlText w:val="•"/>
      <w:lvlJc w:val="left"/>
      <w:pPr>
        <w:tabs>
          <w:tab w:val="num" w:pos="2880"/>
        </w:tabs>
        <w:ind w:left="2880" w:hanging="360"/>
      </w:pPr>
      <w:rPr>
        <w:rFonts w:ascii="Arial" w:hAnsi="Arial" w:cs="Times New Roman" w:hint="default"/>
      </w:rPr>
    </w:lvl>
    <w:lvl w:ilvl="4" w:tplc="390A9E16">
      <w:start w:val="1"/>
      <w:numFmt w:val="bullet"/>
      <w:lvlText w:val="•"/>
      <w:lvlJc w:val="left"/>
      <w:pPr>
        <w:tabs>
          <w:tab w:val="num" w:pos="3600"/>
        </w:tabs>
        <w:ind w:left="3600" w:hanging="360"/>
      </w:pPr>
      <w:rPr>
        <w:rFonts w:ascii="Arial" w:hAnsi="Arial" w:cs="Times New Roman" w:hint="default"/>
      </w:rPr>
    </w:lvl>
    <w:lvl w:ilvl="5" w:tplc="35380E20">
      <w:start w:val="1"/>
      <w:numFmt w:val="bullet"/>
      <w:lvlText w:val="•"/>
      <w:lvlJc w:val="left"/>
      <w:pPr>
        <w:tabs>
          <w:tab w:val="num" w:pos="4320"/>
        </w:tabs>
        <w:ind w:left="4320" w:hanging="360"/>
      </w:pPr>
      <w:rPr>
        <w:rFonts w:ascii="Arial" w:hAnsi="Arial" w:cs="Times New Roman" w:hint="default"/>
      </w:rPr>
    </w:lvl>
    <w:lvl w:ilvl="6" w:tplc="56C8C5F4">
      <w:start w:val="1"/>
      <w:numFmt w:val="bullet"/>
      <w:lvlText w:val="•"/>
      <w:lvlJc w:val="left"/>
      <w:pPr>
        <w:tabs>
          <w:tab w:val="num" w:pos="5040"/>
        </w:tabs>
        <w:ind w:left="5040" w:hanging="360"/>
      </w:pPr>
      <w:rPr>
        <w:rFonts w:ascii="Arial" w:hAnsi="Arial" w:cs="Times New Roman" w:hint="default"/>
      </w:rPr>
    </w:lvl>
    <w:lvl w:ilvl="7" w:tplc="B59229BC">
      <w:start w:val="1"/>
      <w:numFmt w:val="bullet"/>
      <w:lvlText w:val="•"/>
      <w:lvlJc w:val="left"/>
      <w:pPr>
        <w:tabs>
          <w:tab w:val="num" w:pos="5760"/>
        </w:tabs>
        <w:ind w:left="5760" w:hanging="360"/>
      </w:pPr>
      <w:rPr>
        <w:rFonts w:ascii="Arial" w:hAnsi="Arial" w:cs="Times New Roman" w:hint="default"/>
      </w:rPr>
    </w:lvl>
    <w:lvl w:ilvl="8" w:tplc="69D0B05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98D6D2D"/>
    <w:multiLevelType w:val="hybridMultilevel"/>
    <w:tmpl w:val="F550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24" w15:restartNumberingAfterBreak="0">
    <w:nsid w:val="4D8A6842"/>
    <w:multiLevelType w:val="hybridMultilevel"/>
    <w:tmpl w:val="30965A9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AB3A11"/>
    <w:multiLevelType w:val="hybridMultilevel"/>
    <w:tmpl w:val="2EBC5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4479FC"/>
    <w:multiLevelType w:val="hybridMultilevel"/>
    <w:tmpl w:val="CA48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346F90"/>
    <w:multiLevelType w:val="multilevel"/>
    <w:tmpl w:val="83AA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430CE"/>
    <w:multiLevelType w:val="hybridMultilevel"/>
    <w:tmpl w:val="3C1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9160A"/>
    <w:multiLevelType w:val="hybridMultilevel"/>
    <w:tmpl w:val="70D0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023BC"/>
    <w:multiLevelType w:val="hybridMultilevel"/>
    <w:tmpl w:val="38C2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B6675"/>
    <w:multiLevelType w:val="hybridMultilevel"/>
    <w:tmpl w:val="4E04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40124"/>
    <w:multiLevelType w:val="hybridMultilevel"/>
    <w:tmpl w:val="DF16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A7ACF"/>
    <w:multiLevelType w:val="hybridMultilevel"/>
    <w:tmpl w:val="7838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E7F05"/>
    <w:multiLevelType w:val="hybridMultilevel"/>
    <w:tmpl w:val="6AB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5325B"/>
    <w:multiLevelType w:val="hybridMultilevel"/>
    <w:tmpl w:val="FD3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E2764"/>
    <w:multiLevelType w:val="hybridMultilevel"/>
    <w:tmpl w:val="AC52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D11B1"/>
    <w:multiLevelType w:val="hybridMultilevel"/>
    <w:tmpl w:val="654C98FC"/>
    <w:lvl w:ilvl="0" w:tplc="A0820A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905DF"/>
    <w:multiLevelType w:val="hybridMultilevel"/>
    <w:tmpl w:val="CB1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3128">
    <w:abstractNumId w:val="26"/>
  </w:num>
  <w:num w:numId="2" w16cid:durableId="266424681">
    <w:abstractNumId w:val="21"/>
  </w:num>
  <w:num w:numId="3" w16cid:durableId="1275362370">
    <w:abstractNumId w:val="23"/>
  </w:num>
  <w:num w:numId="4" w16cid:durableId="140196699">
    <w:abstractNumId w:val="22"/>
  </w:num>
  <w:num w:numId="5" w16cid:durableId="1687487388">
    <w:abstractNumId w:val="11"/>
  </w:num>
  <w:num w:numId="6" w16cid:durableId="1270433072">
    <w:abstractNumId w:val="3"/>
  </w:num>
  <w:num w:numId="7" w16cid:durableId="11731350">
    <w:abstractNumId w:val="37"/>
  </w:num>
  <w:num w:numId="8" w16cid:durableId="225380465">
    <w:abstractNumId w:val="38"/>
  </w:num>
  <w:num w:numId="9" w16cid:durableId="1122194269">
    <w:abstractNumId w:val="35"/>
  </w:num>
  <w:num w:numId="10" w16cid:durableId="139929689">
    <w:abstractNumId w:val="10"/>
  </w:num>
  <w:num w:numId="11" w16cid:durableId="190803096">
    <w:abstractNumId w:val="28"/>
  </w:num>
  <w:num w:numId="12" w16cid:durableId="613174772">
    <w:abstractNumId w:val="12"/>
  </w:num>
  <w:num w:numId="13" w16cid:durableId="1223102391">
    <w:abstractNumId w:val="6"/>
  </w:num>
  <w:num w:numId="14" w16cid:durableId="20009851">
    <w:abstractNumId w:val="24"/>
  </w:num>
  <w:num w:numId="15" w16cid:durableId="1997996257">
    <w:abstractNumId w:val="34"/>
  </w:num>
  <w:num w:numId="16" w16cid:durableId="288096746">
    <w:abstractNumId w:val="2"/>
  </w:num>
  <w:num w:numId="17" w16cid:durableId="265508154">
    <w:abstractNumId w:val="32"/>
  </w:num>
  <w:num w:numId="18" w16cid:durableId="1009478367">
    <w:abstractNumId w:val="14"/>
  </w:num>
  <w:num w:numId="19" w16cid:durableId="2140218730">
    <w:abstractNumId w:val="1"/>
  </w:num>
  <w:num w:numId="20" w16cid:durableId="1496215780">
    <w:abstractNumId w:val="13"/>
  </w:num>
  <w:num w:numId="21" w16cid:durableId="1070810266">
    <w:abstractNumId w:val="0"/>
  </w:num>
  <w:num w:numId="22" w16cid:durableId="1355811959">
    <w:abstractNumId w:val="25"/>
  </w:num>
  <w:num w:numId="23" w16cid:durableId="366638274">
    <w:abstractNumId w:val="7"/>
  </w:num>
  <w:num w:numId="24" w16cid:durableId="116721695">
    <w:abstractNumId w:val="18"/>
  </w:num>
  <w:num w:numId="25" w16cid:durableId="1227181739">
    <w:abstractNumId w:val="20"/>
  </w:num>
  <w:num w:numId="26" w16cid:durableId="49885937">
    <w:abstractNumId w:val="4"/>
  </w:num>
  <w:num w:numId="27" w16cid:durableId="369762533">
    <w:abstractNumId w:val="17"/>
  </w:num>
  <w:num w:numId="28" w16cid:durableId="1075593178">
    <w:abstractNumId w:val="27"/>
  </w:num>
  <w:num w:numId="29" w16cid:durableId="446892930">
    <w:abstractNumId w:val="15"/>
  </w:num>
  <w:num w:numId="30" w16cid:durableId="203062124">
    <w:abstractNumId w:val="16"/>
  </w:num>
  <w:num w:numId="31" w16cid:durableId="933590836">
    <w:abstractNumId w:val="30"/>
  </w:num>
  <w:num w:numId="32" w16cid:durableId="255987833">
    <w:abstractNumId w:val="8"/>
  </w:num>
  <w:num w:numId="33" w16cid:durableId="1234504483">
    <w:abstractNumId w:val="29"/>
  </w:num>
  <w:num w:numId="34" w16cid:durableId="2088459413">
    <w:abstractNumId w:val="9"/>
  </w:num>
  <w:num w:numId="35" w16cid:durableId="1082873910">
    <w:abstractNumId w:val="31"/>
  </w:num>
  <w:num w:numId="36" w16cid:durableId="1933198426">
    <w:abstractNumId w:val="33"/>
  </w:num>
  <w:num w:numId="37" w16cid:durableId="1016687680">
    <w:abstractNumId w:val="5"/>
  </w:num>
  <w:num w:numId="38" w16cid:durableId="689840514">
    <w:abstractNumId w:val="19"/>
  </w:num>
  <w:num w:numId="39" w16cid:durableId="1950620335">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CFF"/>
    <w:rsid w:val="000016EC"/>
    <w:rsid w:val="00001723"/>
    <w:rsid w:val="000019D0"/>
    <w:rsid w:val="00004156"/>
    <w:rsid w:val="00005678"/>
    <w:rsid w:val="00006B90"/>
    <w:rsid w:val="00007CF0"/>
    <w:rsid w:val="00007F82"/>
    <w:rsid w:val="0001041A"/>
    <w:rsid w:val="00012BC2"/>
    <w:rsid w:val="00014308"/>
    <w:rsid w:val="0001592E"/>
    <w:rsid w:val="00016A51"/>
    <w:rsid w:val="00017228"/>
    <w:rsid w:val="0002001A"/>
    <w:rsid w:val="0002057D"/>
    <w:rsid w:val="000216E0"/>
    <w:rsid w:val="000217F5"/>
    <w:rsid w:val="00021FFE"/>
    <w:rsid w:val="0002217C"/>
    <w:rsid w:val="000254FC"/>
    <w:rsid w:val="0002635B"/>
    <w:rsid w:val="00026E4B"/>
    <w:rsid w:val="000277F2"/>
    <w:rsid w:val="00027EF5"/>
    <w:rsid w:val="00030D1E"/>
    <w:rsid w:val="000311C5"/>
    <w:rsid w:val="000326C4"/>
    <w:rsid w:val="00032C4C"/>
    <w:rsid w:val="000366CA"/>
    <w:rsid w:val="00036BA4"/>
    <w:rsid w:val="0003796E"/>
    <w:rsid w:val="000406BB"/>
    <w:rsid w:val="00041E6C"/>
    <w:rsid w:val="00042E0E"/>
    <w:rsid w:val="00042FE9"/>
    <w:rsid w:val="00043D7C"/>
    <w:rsid w:val="00044CC8"/>
    <w:rsid w:val="00044E61"/>
    <w:rsid w:val="00044F88"/>
    <w:rsid w:val="00046B6A"/>
    <w:rsid w:val="00050C16"/>
    <w:rsid w:val="000517DD"/>
    <w:rsid w:val="0005213F"/>
    <w:rsid w:val="0005309B"/>
    <w:rsid w:val="00053284"/>
    <w:rsid w:val="000539A9"/>
    <w:rsid w:val="00053F8D"/>
    <w:rsid w:val="000543C5"/>
    <w:rsid w:val="00055054"/>
    <w:rsid w:val="00055C89"/>
    <w:rsid w:val="00056610"/>
    <w:rsid w:val="000574E9"/>
    <w:rsid w:val="00057E92"/>
    <w:rsid w:val="0006123E"/>
    <w:rsid w:val="00061508"/>
    <w:rsid w:val="00062900"/>
    <w:rsid w:val="0006298A"/>
    <w:rsid w:val="00063E96"/>
    <w:rsid w:val="000648FD"/>
    <w:rsid w:val="00064B25"/>
    <w:rsid w:val="000651CF"/>
    <w:rsid w:val="000653FB"/>
    <w:rsid w:val="00065471"/>
    <w:rsid w:val="0006784E"/>
    <w:rsid w:val="0006787F"/>
    <w:rsid w:val="000679C2"/>
    <w:rsid w:val="0007081D"/>
    <w:rsid w:val="0007159C"/>
    <w:rsid w:val="000717E7"/>
    <w:rsid w:val="000719F0"/>
    <w:rsid w:val="00071E38"/>
    <w:rsid w:val="00071E4A"/>
    <w:rsid w:val="00073C8F"/>
    <w:rsid w:val="000746E0"/>
    <w:rsid w:val="0007502E"/>
    <w:rsid w:val="00075C82"/>
    <w:rsid w:val="00076C09"/>
    <w:rsid w:val="00077003"/>
    <w:rsid w:val="000800D2"/>
    <w:rsid w:val="000802AC"/>
    <w:rsid w:val="000803AB"/>
    <w:rsid w:val="0008141B"/>
    <w:rsid w:val="00082B0F"/>
    <w:rsid w:val="00082E9E"/>
    <w:rsid w:val="000832E7"/>
    <w:rsid w:val="00084140"/>
    <w:rsid w:val="00084176"/>
    <w:rsid w:val="0008425D"/>
    <w:rsid w:val="00086FF5"/>
    <w:rsid w:val="00087232"/>
    <w:rsid w:val="00087731"/>
    <w:rsid w:val="0008790E"/>
    <w:rsid w:val="000879E6"/>
    <w:rsid w:val="00087DB5"/>
    <w:rsid w:val="00090C05"/>
    <w:rsid w:val="00091B50"/>
    <w:rsid w:val="00091EEB"/>
    <w:rsid w:val="000924FC"/>
    <w:rsid w:val="00092BC6"/>
    <w:rsid w:val="0009395D"/>
    <w:rsid w:val="00093BDA"/>
    <w:rsid w:val="00094792"/>
    <w:rsid w:val="00094CFD"/>
    <w:rsid w:val="00094D63"/>
    <w:rsid w:val="00095BD0"/>
    <w:rsid w:val="00097648"/>
    <w:rsid w:val="00097827"/>
    <w:rsid w:val="000A00D2"/>
    <w:rsid w:val="000A03CB"/>
    <w:rsid w:val="000A0E88"/>
    <w:rsid w:val="000A101D"/>
    <w:rsid w:val="000A1973"/>
    <w:rsid w:val="000A2B53"/>
    <w:rsid w:val="000A3443"/>
    <w:rsid w:val="000A4721"/>
    <w:rsid w:val="000A77F2"/>
    <w:rsid w:val="000B195B"/>
    <w:rsid w:val="000B2711"/>
    <w:rsid w:val="000B3176"/>
    <w:rsid w:val="000B5C15"/>
    <w:rsid w:val="000B5C23"/>
    <w:rsid w:val="000B5C9C"/>
    <w:rsid w:val="000B69E5"/>
    <w:rsid w:val="000B7969"/>
    <w:rsid w:val="000B7AF9"/>
    <w:rsid w:val="000C0B1F"/>
    <w:rsid w:val="000C3551"/>
    <w:rsid w:val="000C3CB1"/>
    <w:rsid w:val="000C450D"/>
    <w:rsid w:val="000C5273"/>
    <w:rsid w:val="000C57A4"/>
    <w:rsid w:val="000C5E41"/>
    <w:rsid w:val="000C5FCB"/>
    <w:rsid w:val="000C64CB"/>
    <w:rsid w:val="000C7222"/>
    <w:rsid w:val="000C757B"/>
    <w:rsid w:val="000CADE2"/>
    <w:rsid w:val="000D127F"/>
    <w:rsid w:val="000D1EE9"/>
    <w:rsid w:val="000D283B"/>
    <w:rsid w:val="000D3A7C"/>
    <w:rsid w:val="000D3AC4"/>
    <w:rsid w:val="000D3DB2"/>
    <w:rsid w:val="000D512B"/>
    <w:rsid w:val="000D7B9B"/>
    <w:rsid w:val="000E01CC"/>
    <w:rsid w:val="000E0878"/>
    <w:rsid w:val="000E1923"/>
    <w:rsid w:val="000E1A3B"/>
    <w:rsid w:val="000E1B51"/>
    <w:rsid w:val="000E246E"/>
    <w:rsid w:val="000E2926"/>
    <w:rsid w:val="000E2998"/>
    <w:rsid w:val="000E4D95"/>
    <w:rsid w:val="000E4E37"/>
    <w:rsid w:val="000E5CE4"/>
    <w:rsid w:val="000E6079"/>
    <w:rsid w:val="000E67F3"/>
    <w:rsid w:val="000E6D99"/>
    <w:rsid w:val="000F00BA"/>
    <w:rsid w:val="000F00F7"/>
    <w:rsid w:val="000F0A02"/>
    <w:rsid w:val="000F2E5F"/>
    <w:rsid w:val="000F3376"/>
    <w:rsid w:val="000F590D"/>
    <w:rsid w:val="000F5FB9"/>
    <w:rsid w:val="0010131F"/>
    <w:rsid w:val="00101A6F"/>
    <w:rsid w:val="00102FE0"/>
    <w:rsid w:val="00103780"/>
    <w:rsid w:val="00104FD0"/>
    <w:rsid w:val="001056DA"/>
    <w:rsid w:val="0010702C"/>
    <w:rsid w:val="00107924"/>
    <w:rsid w:val="00110220"/>
    <w:rsid w:val="0011098B"/>
    <w:rsid w:val="00110A45"/>
    <w:rsid w:val="00110E3D"/>
    <w:rsid w:val="0011236B"/>
    <w:rsid w:val="001123EA"/>
    <w:rsid w:val="00112B32"/>
    <w:rsid w:val="00113724"/>
    <w:rsid w:val="0011375F"/>
    <w:rsid w:val="001151FD"/>
    <w:rsid w:val="001164B9"/>
    <w:rsid w:val="00116FC0"/>
    <w:rsid w:val="00117E05"/>
    <w:rsid w:val="001209AB"/>
    <w:rsid w:val="00120C05"/>
    <w:rsid w:val="00121E42"/>
    <w:rsid w:val="00122072"/>
    <w:rsid w:val="0012319D"/>
    <w:rsid w:val="0012357A"/>
    <w:rsid w:val="00125ADE"/>
    <w:rsid w:val="0013004A"/>
    <w:rsid w:val="0013008F"/>
    <w:rsid w:val="001307E5"/>
    <w:rsid w:val="00130D0D"/>
    <w:rsid w:val="001310D9"/>
    <w:rsid w:val="001313C7"/>
    <w:rsid w:val="001324EF"/>
    <w:rsid w:val="00133275"/>
    <w:rsid w:val="00133721"/>
    <w:rsid w:val="001338E5"/>
    <w:rsid w:val="0013425D"/>
    <w:rsid w:val="0013526C"/>
    <w:rsid w:val="001361B5"/>
    <w:rsid w:val="0014038D"/>
    <w:rsid w:val="00141471"/>
    <w:rsid w:val="0014181B"/>
    <w:rsid w:val="00141F46"/>
    <w:rsid w:val="00142372"/>
    <w:rsid w:val="00143A15"/>
    <w:rsid w:val="0014523D"/>
    <w:rsid w:val="001452A3"/>
    <w:rsid w:val="001465DC"/>
    <w:rsid w:val="00146999"/>
    <w:rsid w:val="0014759C"/>
    <w:rsid w:val="0014763E"/>
    <w:rsid w:val="00150564"/>
    <w:rsid w:val="00151019"/>
    <w:rsid w:val="00151924"/>
    <w:rsid w:val="00151B44"/>
    <w:rsid w:val="00155293"/>
    <w:rsid w:val="00155FDA"/>
    <w:rsid w:val="0015612E"/>
    <w:rsid w:val="00156EA1"/>
    <w:rsid w:val="001571CE"/>
    <w:rsid w:val="001577C4"/>
    <w:rsid w:val="00160602"/>
    <w:rsid w:val="00161765"/>
    <w:rsid w:val="00161C6A"/>
    <w:rsid w:val="00163351"/>
    <w:rsid w:val="00164306"/>
    <w:rsid w:val="0016550F"/>
    <w:rsid w:val="00167D7A"/>
    <w:rsid w:val="00167E5F"/>
    <w:rsid w:val="00171848"/>
    <w:rsid w:val="001725A5"/>
    <w:rsid w:val="001735F6"/>
    <w:rsid w:val="00173C64"/>
    <w:rsid w:val="00174A3B"/>
    <w:rsid w:val="00174AE3"/>
    <w:rsid w:val="00175843"/>
    <w:rsid w:val="0017679D"/>
    <w:rsid w:val="00180558"/>
    <w:rsid w:val="0018092B"/>
    <w:rsid w:val="001809C4"/>
    <w:rsid w:val="0018150C"/>
    <w:rsid w:val="00181F40"/>
    <w:rsid w:val="00182E93"/>
    <w:rsid w:val="001840A2"/>
    <w:rsid w:val="00184BDE"/>
    <w:rsid w:val="001858D1"/>
    <w:rsid w:val="00191BB1"/>
    <w:rsid w:val="00191DAF"/>
    <w:rsid w:val="00192496"/>
    <w:rsid w:val="00192D1E"/>
    <w:rsid w:val="001935B3"/>
    <w:rsid w:val="001942FB"/>
    <w:rsid w:val="00194748"/>
    <w:rsid w:val="001947F4"/>
    <w:rsid w:val="00195A2B"/>
    <w:rsid w:val="00196278"/>
    <w:rsid w:val="00196704"/>
    <w:rsid w:val="001967F7"/>
    <w:rsid w:val="0019736F"/>
    <w:rsid w:val="001973DE"/>
    <w:rsid w:val="00197511"/>
    <w:rsid w:val="001A09F1"/>
    <w:rsid w:val="001A0EF6"/>
    <w:rsid w:val="001A1190"/>
    <w:rsid w:val="001A15F0"/>
    <w:rsid w:val="001A1737"/>
    <w:rsid w:val="001A2786"/>
    <w:rsid w:val="001A37FB"/>
    <w:rsid w:val="001A3BB8"/>
    <w:rsid w:val="001A3C63"/>
    <w:rsid w:val="001A4703"/>
    <w:rsid w:val="001A4727"/>
    <w:rsid w:val="001A51A8"/>
    <w:rsid w:val="001A6608"/>
    <w:rsid w:val="001A6784"/>
    <w:rsid w:val="001A7285"/>
    <w:rsid w:val="001A74DC"/>
    <w:rsid w:val="001B16FF"/>
    <w:rsid w:val="001B19E7"/>
    <w:rsid w:val="001B1A91"/>
    <w:rsid w:val="001B229F"/>
    <w:rsid w:val="001B3114"/>
    <w:rsid w:val="001B3201"/>
    <w:rsid w:val="001B33F2"/>
    <w:rsid w:val="001B3831"/>
    <w:rsid w:val="001B3906"/>
    <w:rsid w:val="001B46C9"/>
    <w:rsid w:val="001B500D"/>
    <w:rsid w:val="001B657D"/>
    <w:rsid w:val="001B69D8"/>
    <w:rsid w:val="001C0634"/>
    <w:rsid w:val="001C0787"/>
    <w:rsid w:val="001C1AE4"/>
    <w:rsid w:val="001C1F90"/>
    <w:rsid w:val="001C20AA"/>
    <w:rsid w:val="001C2218"/>
    <w:rsid w:val="001C22FF"/>
    <w:rsid w:val="001C32C1"/>
    <w:rsid w:val="001C38E4"/>
    <w:rsid w:val="001C4699"/>
    <w:rsid w:val="001C5B17"/>
    <w:rsid w:val="001C5DE7"/>
    <w:rsid w:val="001C66AC"/>
    <w:rsid w:val="001C6C6B"/>
    <w:rsid w:val="001D0C2C"/>
    <w:rsid w:val="001D1524"/>
    <w:rsid w:val="001D17AE"/>
    <w:rsid w:val="001D19C1"/>
    <w:rsid w:val="001D19FF"/>
    <w:rsid w:val="001D1F67"/>
    <w:rsid w:val="001D2073"/>
    <w:rsid w:val="001D228A"/>
    <w:rsid w:val="001D2B57"/>
    <w:rsid w:val="001D365C"/>
    <w:rsid w:val="001D4AF0"/>
    <w:rsid w:val="001D4CE0"/>
    <w:rsid w:val="001D5AB3"/>
    <w:rsid w:val="001D7627"/>
    <w:rsid w:val="001E058E"/>
    <w:rsid w:val="001E104A"/>
    <w:rsid w:val="001E14D6"/>
    <w:rsid w:val="001E25D9"/>
    <w:rsid w:val="001E383E"/>
    <w:rsid w:val="001E3FC8"/>
    <w:rsid w:val="001E49E6"/>
    <w:rsid w:val="001E4ADD"/>
    <w:rsid w:val="001E5CBD"/>
    <w:rsid w:val="001E747B"/>
    <w:rsid w:val="001E7661"/>
    <w:rsid w:val="001F0ED7"/>
    <w:rsid w:val="001F0F2E"/>
    <w:rsid w:val="001F1C33"/>
    <w:rsid w:val="001F21E2"/>
    <w:rsid w:val="001F4384"/>
    <w:rsid w:val="001F644B"/>
    <w:rsid w:val="001F7B48"/>
    <w:rsid w:val="00201396"/>
    <w:rsid w:val="00201FBF"/>
    <w:rsid w:val="0020221F"/>
    <w:rsid w:val="00202343"/>
    <w:rsid w:val="00202489"/>
    <w:rsid w:val="00202602"/>
    <w:rsid w:val="00202831"/>
    <w:rsid w:val="0020361F"/>
    <w:rsid w:val="0020441B"/>
    <w:rsid w:val="002049CB"/>
    <w:rsid w:val="00204BC9"/>
    <w:rsid w:val="00204E1D"/>
    <w:rsid w:val="00205584"/>
    <w:rsid w:val="0020579F"/>
    <w:rsid w:val="0020600C"/>
    <w:rsid w:val="00206421"/>
    <w:rsid w:val="00206EC3"/>
    <w:rsid w:val="00207075"/>
    <w:rsid w:val="002076E8"/>
    <w:rsid w:val="00207C71"/>
    <w:rsid w:val="002102F4"/>
    <w:rsid w:val="00213FF3"/>
    <w:rsid w:val="00214629"/>
    <w:rsid w:val="00216A2C"/>
    <w:rsid w:val="00216E8C"/>
    <w:rsid w:val="00216F0A"/>
    <w:rsid w:val="00217C55"/>
    <w:rsid w:val="00220169"/>
    <w:rsid w:val="00220741"/>
    <w:rsid w:val="00220A23"/>
    <w:rsid w:val="00220A33"/>
    <w:rsid w:val="00221926"/>
    <w:rsid w:val="002223A1"/>
    <w:rsid w:val="0022317E"/>
    <w:rsid w:val="0022359D"/>
    <w:rsid w:val="00224C6D"/>
    <w:rsid w:val="00225C0E"/>
    <w:rsid w:val="002271BA"/>
    <w:rsid w:val="002301CD"/>
    <w:rsid w:val="00230A3A"/>
    <w:rsid w:val="00230EFB"/>
    <w:rsid w:val="002327A4"/>
    <w:rsid w:val="00233531"/>
    <w:rsid w:val="0023365D"/>
    <w:rsid w:val="002338B7"/>
    <w:rsid w:val="00233BA3"/>
    <w:rsid w:val="002352E9"/>
    <w:rsid w:val="002368CE"/>
    <w:rsid w:val="00236BC5"/>
    <w:rsid w:val="00240B07"/>
    <w:rsid w:val="002411C5"/>
    <w:rsid w:val="002411E7"/>
    <w:rsid w:val="0024357A"/>
    <w:rsid w:val="00243A06"/>
    <w:rsid w:val="00244AF8"/>
    <w:rsid w:val="00244ED9"/>
    <w:rsid w:val="002452A8"/>
    <w:rsid w:val="002465B2"/>
    <w:rsid w:val="00247D09"/>
    <w:rsid w:val="002503EC"/>
    <w:rsid w:val="00250430"/>
    <w:rsid w:val="0025054E"/>
    <w:rsid w:val="00250722"/>
    <w:rsid w:val="0025137B"/>
    <w:rsid w:val="00251492"/>
    <w:rsid w:val="00251A4A"/>
    <w:rsid w:val="002527CF"/>
    <w:rsid w:val="00252CC2"/>
    <w:rsid w:val="00253495"/>
    <w:rsid w:val="0025375F"/>
    <w:rsid w:val="00253BD5"/>
    <w:rsid w:val="00254854"/>
    <w:rsid w:val="00254888"/>
    <w:rsid w:val="00255174"/>
    <w:rsid w:val="00255E61"/>
    <w:rsid w:val="00256488"/>
    <w:rsid w:val="0025655A"/>
    <w:rsid w:val="00256895"/>
    <w:rsid w:val="002578F1"/>
    <w:rsid w:val="00257A84"/>
    <w:rsid w:val="002600C8"/>
    <w:rsid w:val="002608A2"/>
    <w:rsid w:val="00260CE9"/>
    <w:rsid w:val="0026223E"/>
    <w:rsid w:val="002622CF"/>
    <w:rsid w:val="002627EB"/>
    <w:rsid w:val="002629AD"/>
    <w:rsid w:val="002633F3"/>
    <w:rsid w:val="00266215"/>
    <w:rsid w:val="00266A26"/>
    <w:rsid w:val="00270F67"/>
    <w:rsid w:val="00272042"/>
    <w:rsid w:val="00272183"/>
    <w:rsid w:val="0027303D"/>
    <w:rsid w:val="00273878"/>
    <w:rsid w:val="002743A0"/>
    <w:rsid w:val="00274757"/>
    <w:rsid w:val="00275030"/>
    <w:rsid w:val="00275A30"/>
    <w:rsid w:val="0027690F"/>
    <w:rsid w:val="00277CC9"/>
    <w:rsid w:val="00281764"/>
    <w:rsid w:val="00281806"/>
    <w:rsid w:val="00281C98"/>
    <w:rsid w:val="0028230A"/>
    <w:rsid w:val="00283098"/>
    <w:rsid w:val="002835BD"/>
    <w:rsid w:val="002846CB"/>
    <w:rsid w:val="002853D0"/>
    <w:rsid w:val="002855B2"/>
    <w:rsid w:val="0028644F"/>
    <w:rsid w:val="0028715E"/>
    <w:rsid w:val="00290376"/>
    <w:rsid w:val="002908A8"/>
    <w:rsid w:val="00290C51"/>
    <w:rsid w:val="00291B25"/>
    <w:rsid w:val="00291FC3"/>
    <w:rsid w:val="002920F6"/>
    <w:rsid w:val="00293344"/>
    <w:rsid w:val="0029455E"/>
    <w:rsid w:val="002957F0"/>
    <w:rsid w:val="00295925"/>
    <w:rsid w:val="00297633"/>
    <w:rsid w:val="00297BAA"/>
    <w:rsid w:val="002A1118"/>
    <w:rsid w:val="002A24C6"/>
    <w:rsid w:val="002A4445"/>
    <w:rsid w:val="002A55C9"/>
    <w:rsid w:val="002A6AD0"/>
    <w:rsid w:val="002A6C82"/>
    <w:rsid w:val="002B3A45"/>
    <w:rsid w:val="002B3D50"/>
    <w:rsid w:val="002B3E61"/>
    <w:rsid w:val="002B4F98"/>
    <w:rsid w:val="002B57EE"/>
    <w:rsid w:val="002B587D"/>
    <w:rsid w:val="002B759C"/>
    <w:rsid w:val="002B7698"/>
    <w:rsid w:val="002B77C8"/>
    <w:rsid w:val="002B7DBA"/>
    <w:rsid w:val="002C0249"/>
    <w:rsid w:val="002C0C15"/>
    <w:rsid w:val="002C0C81"/>
    <w:rsid w:val="002C1664"/>
    <w:rsid w:val="002C38DE"/>
    <w:rsid w:val="002C4FB0"/>
    <w:rsid w:val="002C5F3E"/>
    <w:rsid w:val="002C605B"/>
    <w:rsid w:val="002D216F"/>
    <w:rsid w:val="002D254A"/>
    <w:rsid w:val="002D2E5E"/>
    <w:rsid w:val="002D38D9"/>
    <w:rsid w:val="002D3B4F"/>
    <w:rsid w:val="002D53F3"/>
    <w:rsid w:val="002D5CA5"/>
    <w:rsid w:val="002D6190"/>
    <w:rsid w:val="002D6C96"/>
    <w:rsid w:val="002D7609"/>
    <w:rsid w:val="002E2B19"/>
    <w:rsid w:val="002E461B"/>
    <w:rsid w:val="002E579D"/>
    <w:rsid w:val="002E6987"/>
    <w:rsid w:val="002E749F"/>
    <w:rsid w:val="002F1032"/>
    <w:rsid w:val="002F1F54"/>
    <w:rsid w:val="002F2FD2"/>
    <w:rsid w:val="002F52DF"/>
    <w:rsid w:val="002F5308"/>
    <w:rsid w:val="002F58C6"/>
    <w:rsid w:val="002F69E5"/>
    <w:rsid w:val="002F69EA"/>
    <w:rsid w:val="002F7263"/>
    <w:rsid w:val="002F77DA"/>
    <w:rsid w:val="002F7AD7"/>
    <w:rsid w:val="002F7E2A"/>
    <w:rsid w:val="00300B8C"/>
    <w:rsid w:val="00301615"/>
    <w:rsid w:val="00302170"/>
    <w:rsid w:val="003021FD"/>
    <w:rsid w:val="0030220A"/>
    <w:rsid w:val="00302733"/>
    <w:rsid w:val="00304628"/>
    <w:rsid w:val="0030467B"/>
    <w:rsid w:val="00304BF4"/>
    <w:rsid w:val="003051A3"/>
    <w:rsid w:val="003058C7"/>
    <w:rsid w:val="00307A08"/>
    <w:rsid w:val="00307E16"/>
    <w:rsid w:val="00310E44"/>
    <w:rsid w:val="003111D1"/>
    <w:rsid w:val="003112E5"/>
    <w:rsid w:val="00312034"/>
    <w:rsid w:val="003121DF"/>
    <w:rsid w:val="00312715"/>
    <w:rsid w:val="00312BF4"/>
    <w:rsid w:val="00313B3A"/>
    <w:rsid w:val="003152A5"/>
    <w:rsid w:val="003162C6"/>
    <w:rsid w:val="00316305"/>
    <w:rsid w:val="00317A84"/>
    <w:rsid w:val="00320D47"/>
    <w:rsid w:val="00321375"/>
    <w:rsid w:val="00323145"/>
    <w:rsid w:val="00323544"/>
    <w:rsid w:val="003255BE"/>
    <w:rsid w:val="00325C50"/>
    <w:rsid w:val="003261B2"/>
    <w:rsid w:val="0032694F"/>
    <w:rsid w:val="00326AF7"/>
    <w:rsid w:val="00327761"/>
    <w:rsid w:val="0032792D"/>
    <w:rsid w:val="0033123B"/>
    <w:rsid w:val="003314D6"/>
    <w:rsid w:val="003327E1"/>
    <w:rsid w:val="00333B93"/>
    <w:rsid w:val="00334C63"/>
    <w:rsid w:val="0033591D"/>
    <w:rsid w:val="00337A9D"/>
    <w:rsid w:val="00337AB8"/>
    <w:rsid w:val="00337EE2"/>
    <w:rsid w:val="00340077"/>
    <w:rsid w:val="00342C27"/>
    <w:rsid w:val="00343949"/>
    <w:rsid w:val="0034544D"/>
    <w:rsid w:val="003459AA"/>
    <w:rsid w:val="00347120"/>
    <w:rsid w:val="003477BC"/>
    <w:rsid w:val="003506B8"/>
    <w:rsid w:val="00350E64"/>
    <w:rsid w:val="003518A1"/>
    <w:rsid w:val="00352DC5"/>
    <w:rsid w:val="003532E7"/>
    <w:rsid w:val="00353A00"/>
    <w:rsid w:val="00354F3B"/>
    <w:rsid w:val="00355385"/>
    <w:rsid w:val="00355486"/>
    <w:rsid w:val="00356267"/>
    <w:rsid w:val="00357086"/>
    <w:rsid w:val="003571A4"/>
    <w:rsid w:val="003609C1"/>
    <w:rsid w:val="00360AC2"/>
    <w:rsid w:val="00362298"/>
    <w:rsid w:val="00362F40"/>
    <w:rsid w:val="00363387"/>
    <w:rsid w:val="00363AB5"/>
    <w:rsid w:val="0036477D"/>
    <w:rsid w:val="00364F93"/>
    <w:rsid w:val="003655F0"/>
    <w:rsid w:val="00365C7D"/>
    <w:rsid w:val="00367943"/>
    <w:rsid w:val="00367AFC"/>
    <w:rsid w:val="00367E8A"/>
    <w:rsid w:val="00371E70"/>
    <w:rsid w:val="00372547"/>
    <w:rsid w:val="00373758"/>
    <w:rsid w:val="003737FD"/>
    <w:rsid w:val="00373CFF"/>
    <w:rsid w:val="00375842"/>
    <w:rsid w:val="003762C0"/>
    <w:rsid w:val="00376965"/>
    <w:rsid w:val="00376EA0"/>
    <w:rsid w:val="0037768D"/>
    <w:rsid w:val="00380810"/>
    <w:rsid w:val="00380C09"/>
    <w:rsid w:val="00382020"/>
    <w:rsid w:val="003822D7"/>
    <w:rsid w:val="003849AA"/>
    <w:rsid w:val="00385165"/>
    <w:rsid w:val="0038658A"/>
    <w:rsid w:val="0038681E"/>
    <w:rsid w:val="003A0557"/>
    <w:rsid w:val="003A11DC"/>
    <w:rsid w:val="003A18BA"/>
    <w:rsid w:val="003A1B7B"/>
    <w:rsid w:val="003A1D67"/>
    <w:rsid w:val="003A1DDB"/>
    <w:rsid w:val="003A2580"/>
    <w:rsid w:val="003A4048"/>
    <w:rsid w:val="003A7210"/>
    <w:rsid w:val="003B10BF"/>
    <w:rsid w:val="003B1617"/>
    <w:rsid w:val="003B1BA6"/>
    <w:rsid w:val="003B1E6E"/>
    <w:rsid w:val="003B2125"/>
    <w:rsid w:val="003B2128"/>
    <w:rsid w:val="003B26A5"/>
    <w:rsid w:val="003B3ADF"/>
    <w:rsid w:val="003B4143"/>
    <w:rsid w:val="003B4A83"/>
    <w:rsid w:val="003B4C77"/>
    <w:rsid w:val="003B5C78"/>
    <w:rsid w:val="003B7236"/>
    <w:rsid w:val="003C0E61"/>
    <w:rsid w:val="003C1094"/>
    <w:rsid w:val="003C1345"/>
    <w:rsid w:val="003C2869"/>
    <w:rsid w:val="003C35CF"/>
    <w:rsid w:val="003C4020"/>
    <w:rsid w:val="003C5DDA"/>
    <w:rsid w:val="003C5FF5"/>
    <w:rsid w:val="003C6ED6"/>
    <w:rsid w:val="003C7983"/>
    <w:rsid w:val="003D03B0"/>
    <w:rsid w:val="003D13B4"/>
    <w:rsid w:val="003D16EA"/>
    <w:rsid w:val="003D23FB"/>
    <w:rsid w:val="003D3DBC"/>
    <w:rsid w:val="003D50B9"/>
    <w:rsid w:val="003D5338"/>
    <w:rsid w:val="003D6CB4"/>
    <w:rsid w:val="003E1535"/>
    <w:rsid w:val="003E29D1"/>
    <w:rsid w:val="003E2DF0"/>
    <w:rsid w:val="003E3BFA"/>
    <w:rsid w:val="003E3C95"/>
    <w:rsid w:val="003E3CC9"/>
    <w:rsid w:val="003E580C"/>
    <w:rsid w:val="003E59FB"/>
    <w:rsid w:val="003E669E"/>
    <w:rsid w:val="003E7536"/>
    <w:rsid w:val="003E783D"/>
    <w:rsid w:val="003E7AAD"/>
    <w:rsid w:val="003F0048"/>
    <w:rsid w:val="003F1932"/>
    <w:rsid w:val="003F3649"/>
    <w:rsid w:val="003F438E"/>
    <w:rsid w:val="003F4A7A"/>
    <w:rsid w:val="003F4B5C"/>
    <w:rsid w:val="003F4E67"/>
    <w:rsid w:val="003F53EB"/>
    <w:rsid w:val="003F70B0"/>
    <w:rsid w:val="003F7342"/>
    <w:rsid w:val="003F7627"/>
    <w:rsid w:val="0040005C"/>
    <w:rsid w:val="004008CA"/>
    <w:rsid w:val="00400A66"/>
    <w:rsid w:val="00401A11"/>
    <w:rsid w:val="00402E49"/>
    <w:rsid w:val="004035CE"/>
    <w:rsid w:val="00403C15"/>
    <w:rsid w:val="0040476F"/>
    <w:rsid w:val="0040707B"/>
    <w:rsid w:val="00407EF0"/>
    <w:rsid w:val="004103BF"/>
    <w:rsid w:val="00412255"/>
    <w:rsid w:val="00413514"/>
    <w:rsid w:val="00414152"/>
    <w:rsid w:val="00414B26"/>
    <w:rsid w:val="00415614"/>
    <w:rsid w:val="00415AD8"/>
    <w:rsid w:val="00416BC2"/>
    <w:rsid w:val="00422815"/>
    <w:rsid w:val="004238B1"/>
    <w:rsid w:val="00423BA2"/>
    <w:rsid w:val="00427568"/>
    <w:rsid w:val="004279A3"/>
    <w:rsid w:val="00427ACC"/>
    <w:rsid w:val="00427D17"/>
    <w:rsid w:val="00431737"/>
    <w:rsid w:val="0043173A"/>
    <w:rsid w:val="004322DC"/>
    <w:rsid w:val="00434D0E"/>
    <w:rsid w:val="004358C0"/>
    <w:rsid w:val="004358D7"/>
    <w:rsid w:val="004369D1"/>
    <w:rsid w:val="00437C51"/>
    <w:rsid w:val="00437C8E"/>
    <w:rsid w:val="004403D7"/>
    <w:rsid w:val="004417D3"/>
    <w:rsid w:val="00442788"/>
    <w:rsid w:val="004435C0"/>
    <w:rsid w:val="00443759"/>
    <w:rsid w:val="00443CD2"/>
    <w:rsid w:val="00443DFB"/>
    <w:rsid w:val="004448BE"/>
    <w:rsid w:val="00446436"/>
    <w:rsid w:val="0044652C"/>
    <w:rsid w:val="0044658B"/>
    <w:rsid w:val="00447F9D"/>
    <w:rsid w:val="004503A7"/>
    <w:rsid w:val="004503E3"/>
    <w:rsid w:val="004508F1"/>
    <w:rsid w:val="0045157D"/>
    <w:rsid w:val="0045229B"/>
    <w:rsid w:val="004538A9"/>
    <w:rsid w:val="00453CB8"/>
    <w:rsid w:val="00453CCC"/>
    <w:rsid w:val="0045427C"/>
    <w:rsid w:val="004551A7"/>
    <w:rsid w:val="00455891"/>
    <w:rsid w:val="00455E9D"/>
    <w:rsid w:val="00456B84"/>
    <w:rsid w:val="004572C7"/>
    <w:rsid w:val="0045798D"/>
    <w:rsid w:val="00461211"/>
    <w:rsid w:val="0046147F"/>
    <w:rsid w:val="00461FAB"/>
    <w:rsid w:val="004623DD"/>
    <w:rsid w:val="00462835"/>
    <w:rsid w:val="004631C2"/>
    <w:rsid w:val="00465670"/>
    <w:rsid w:val="00470687"/>
    <w:rsid w:val="00470D86"/>
    <w:rsid w:val="00470E02"/>
    <w:rsid w:val="00470FAB"/>
    <w:rsid w:val="004710AD"/>
    <w:rsid w:val="004724F3"/>
    <w:rsid w:val="00472D95"/>
    <w:rsid w:val="00477536"/>
    <w:rsid w:val="00481CAD"/>
    <w:rsid w:val="00481FD9"/>
    <w:rsid w:val="0048286F"/>
    <w:rsid w:val="00483928"/>
    <w:rsid w:val="004840FE"/>
    <w:rsid w:val="00484166"/>
    <w:rsid w:val="00484905"/>
    <w:rsid w:val="00484C8D"/>
    <w:rsid w:val="00484DB0"/>
    <w:rsid w:val="0048549B"/>
    <w:rsid w:val="004855D8"/>
    <w:rsid w:val="004901ED"/>
    <w:rsid w:val="00490B8C"/>
    <w:rsid w:val="00491509"/>
    <w:rsid w:val="00491AE3"/>
    <w:rsid w:val="00492AAF"/>
    <w:rsid w:val="004935D6"/>
    <w:rsid w:val="00493B91"/>
    <w:rsid w:val="004954B4"/>
    <w:rsid w:val="004956B8"/>
    <w:rsid w:val="00496E09"/>
    <w:rsid w:val="004A0809"/>
    <w:rsid w:val="004A3187"/>
    <w:rsid w:val="004A3D72"/>
    <w:rsid w:val="004A3F38"/>
    <w:rsid w:val="004A4231"/>
    <w:rsid w:val="004A5302"/>
    <w:rsid w:val="004A5E9F"/>
    <w:rsid w:val="004A6579"/>
    <w:rsid w:val="004A6FC6"/>
    <w:rsid w:val="004A7CF3"/>
    <w:rsid w:val="004B05FA"/>
    <w:rsid w:val="004B1541"/>
    <w:rsid w:val="004B2392"/>
    <w:rsid w:val="004B23BC"/>
    <w:rsid w:val="004B4991"/>
    <w:rsid w:val="004B5838"/>
    <w:rsid w:val="004B790B"/>
    <w:rsid w:val="004C06AD"/>
    <w:rsid w:val="004C0E71"/>
    <w:rsid w:val="004C11FE"/>
    <w:rsid w:val="004C1440"/>
    <w:rsid w:val="004C1994"/>
    <w:rsid w:val="004C19BB"/>
    <w:rsid w:val="004C38A4"/>
    <w:rsid w:val="004C42DB"/>
    <w:rsid w:val="004C4A7A"/>
    <w:rsid w:val="004C50F1"/>
    <w:rsid w:val="004C5170"/>
    <w:rsid w:val="004C6170"/>
    <w:rsid w:val="004C6439"/>
    <w:rsid w:val="004C6540"/>
    <w:rsid w:val="004C74FB"/>
    <w:rsid w:val="004C7551"/>
    <w:rsid w:val="004D0481"/>
    <w:rsid w:val="004D19A3"/>
    <w:rsid w:val="004D2FA8"/>
    <w:rsid w:val="004D32DA"/>
    <w:rsid w:val="004D4D57"/>
    <w:rsid w:val="004D4F78"/>
    <w:rsid w:val="004D66DF"/>
    <w:rsid w:val="004D7530"/>
    <w:rsid w:val="004E0765"/>
    <w:rsid w:val="004E0963"/>
    <w:rsid w:val="004E1BD4"/>
    <w:rsid w:val="004E6A76"/>
    <w:rsid w:val="004E75C1"/>
    <w:rsid w:val="004E7C63"/>
    <w:rsid w:val="004E7FED"/>
    <w:rsid w:val="004F0772"/>
    <w:rsid w:val="004F18BF"/>
    <w:rsid w:val="004F26AA"/>
    <w:rsid w:val="004F3C04"/>
    <w:rsid w:val="004F4231"/>
    <w:rsid w:val="004F4DA5"/>
    <w:rsid w:val="004F5A81"/>
    <w:rsid w:val="004F5B6A"/>
    <w:rsid w:val="004F62A8"/>
    <w:rsid w:val="004F7513"/>
    <w:rsid w:val="004F7A70"/>
    <w:rsid w:val="00500E46"/>
    <w:rsid w:val="0050123D"/>
    <w:rsid w:val="00501553"/>
    <w:rsid w:val="005018B1"/>
    <w:rsid w:val="00502C50"/>
    <w:rsid w:val="00502ED0"/>
    <w:rsid w:val="00503607"/>
    <w:rsid w:val="00503E52"/>
    <w:rsid w:val="0050409D"/>
    <w:rsid w:val="005048F6"/>
    <w:rsid w:val="00506A2F"/>
    <w:rsid w:val="00506B91"/>
    <w:rsid w:val="00506C98"/>
    <w:rsid w:val="00507995"/>
    <w:rsid w:val="00511C34"/>
    <w:rsid w:val="00514660"/>
    <w:rsid w:val="00514DD6"/>
    <w:rsid w:val="00515968"/>
    <w:rsid w:val="0051759E"/>
    <w:rsid w:val="00517A75"/>
    <w:rsid w:val="0052138E"/>
    <w:rsid w:val="00522466"/>
    <w:rsid w:val="005229A8"/>
    <w:rsid w:val="0052449E"/>
    <w:rsid w:val="005250DC"/>
    <w:rsid w:val="00526641"/>
    <w:rsid w:val="00526DD8"/>
    <w:rsid w:val="005309EC"/>
    <w:rsid w:val="00530A7B"/>
    <w:rsid w:val="00531213"/>
    <w:rsid w:val="005316EC"/>
    <w:rsid w:val="00531931"/>
    <w:rsid w:val="005322BD"/>
    <w:rsid w:val="00532817"/>
    <w:rsid w:val="00533EFC"/>
    <w:rsid w:val="00533F97"/>
    <w:rsid w:val="0053405A"/>
    <w:rsid w:val="00535567"/>
    <w:rsid w:val="00535FB2"/>
    <w:rsid w:val="00536280"/>
    <w:rsid w:val="0053698F"/>
    <w:rsid w:val="00537576"/>
    <w:rsid w:val="005406CC"/>
    <w:rsid w:val="00541203"/>
    <w:rsid w:val="00541B5E"/>
    <w:rsid w:val="005423A9"/>
    <w:rsid w:val="00542697"/>
    <w:rsid w:val="00543138"/>
    <w:rsid w:val="0054324F"/>
    <w:rsid w:val="005456AF"/>
    <w:rsid w:val="00546036"/>
    <w:rsid w:val="005469DB"/>
    <w:rsid w:val="005477EA"/>
    <w:rsid w:val="00547807"/>
    <w:rsid w:val="00547CFB"/>
    <w:rsid w:val="00551551"/>
    <w:rsid w:val="005519C2"/>
    <w:rsid w:val="00551B34"/>
    <w:rsid w:val="00551B64"/>
    <w:rsid w:val="00551C61"/>
    <w:rsid w:val="00552362"/>
    <w:rsid w:val="00552E0C"/>
    <w:rsid w:val="005530DD"/>
    <w:rsid w:val="00553609"/>
    <w:rsid w:val="005536E9"/>
    <w:rsid w:val="00553E03"/>
    <w:rsid w:val="00553F8D"/>
    <w:rsid w:val="00557779"/>
    <w:rsid w:val="00560161"/>
    <w:rsid w:val="00560A27"/>
    <w:rsid w:val="00560CE4"/>
    <w:rsid w:val="00563086"/>
    <w:rsid w:val="0056430F"/>
    <w:rsid w:val="0056548F"/>
    <w:rsid w:val="005656D9"/>
    <w:rsid w:val="00567B4E"/>
    <w:rsid w:val="00570370"/>
    <w:rsid w:val="0057243C"/>
    <w:rsid w:val="00573D55"/>
    <w:rsid w:val="0057471D"/>
    <w:rsid w:val="00574872"/>
    <w:rsid w:val="00575FD0"/>
    <w:rsid w:val="00576FF5"/>
    <w:rsid w:val="005773A3"/>
    <w:rsid w:val="00577553"/>
    <w:rsid w:val="00580076"/>
    <w:rsid w:val="005800C9"/>
    <w:rsid w:val="005801DF"/>
    <w:rsid w:val="005811AA"/>
    <w:rsid w:val="0058227A"/>
    <w:rsid w:val="00582378"/>
    <w:rsid w:val="00582AE0"/>
    <w:rsid w:val="00583AD8"/>
    <w:rsid w:val="00584B7C"/>
    <w:rsid w:val="00584F2A"/>
    <w:rsid w:val="00585819"/>
    <w:rsid w:val="00586366"/>
    <w:rsid w:val="00587292"/>
    <w:rsid w:val="005906A7"/>
    <w:rsid w:val="00590CFF"/>
    <w:rsid w:val="0059195D"/>
    <w:rsid w:val="00593382"/>
    <w:rsid w:val="005945EC"/>
    <w:rsid w:val="00594F82"/>
    <w:rsid w:val="0059756C"/>
    <w:rsid w:val="005977AB"/>
    <w:rsid w:val="00597967"/>
    <w:rsid w:val="005A07B3"/>
    <w:rsid w:val="005A07DF"/>
    <w:rsid w:val="005A15A4"/>
    <w:rsid w:val="005A4823"/>
    <w:rsid w:val="005A6E07"/>
    <w:rsid w:val="005B2561"/>
    <w:rsid w:val="005B3705"/>
    <w:rsid w:val="005B4A0A"/>
    <w:rsid w:val="005B6E3E"/>
    <w:rsid w:val="005B725E"/>
    <w:rsid w:val="005B7277"/>
    <w:rsid w:val="005B7C5B"/>
    <w:rsid w:val="005C0009"/>
    <w:rsid w:val="005C04F8"/>
    <w:rsid w:val="005C157C"/>
    <w:rsid w:val="005C1BCB"/>
    <w:rsid w:val="005C2F89"/>
    <w:rsid w:val="005C3BEA"/>
    <w:rsid w:val="005C4D29"/>
    <w:rsid w:val="005C5A51"/>
    <w:rsid w:val="005C6C7D"/>
    <w:rsid w:val="005C72ED"/>
    <w:rsid w:val="005C7830"/>
    <w:rsid w:val="005D020B"/>
    <w:rsid w:val="005D057C"/>
    <w:rsid w:val="005D242E"/>
    <w:rsid w:val="005D2643"/>
    <w:rsid w:val="005D3C77"/>
    <w:rsid w:val="005D4FB1"/>
    <w:rsid w:val="005D52F2"/>
    <w:rsid w:val="005D653B"/>
    <w:rsid w:val="005E010A"/>
    <w:rsid w:val="005E1F1E"/>
    <w:rsid w:val="005E4A7B"/>
    <w:rsid w:val="005E51FC"/>
    <w:rsid w:val="005E5B5E"/>
    <w:rsid w:val="005E66B8"/>
    <w:rsid w:val="005E78BA"/>
    <w:rsid w:val="005E7F19"/>
    <w:rsid w:val="005F06A6"/>
    <w:rsid w:val="005F11C6"/>
    <w:rsid w:val="005F1EDE"/>
    <w:rsid w:val="005F1F64"/>
    <w:rsid w:val="005F37DC"/>
    <w:rsid w:val="005F3F29"/>
    <w:rsid w:val="005F4551"/>
    <w:rsid w:val="005F4798"/>
    <w:rsid w:val="005F4AD5"/>
    <w:rsid w:val="005F53F0"/>
    <w:rsid w:val="005F59FB"/>
    <w:rsid w:val="005F5E30"/>
    <w:rsid w:val="005F7C57"/>
    <w:rsid w:val="00600417"/>
    <w:rsid w:val="006020E9"/>
    <w:rsid w:val="00602FAF"/>
    <w:rsid w:val="00603CA1"/>
    <w:rsid w:val="0060438A"/>
    <w:rsid w:val="0060462A"/>
    <w:rsid w:val="0060475A"/>
    <w:rsid w:val="006048CA"/>
    <w:rsid w:val="0060525E"/>
    <w:rsid w:val="00605729"/>
    <w:rsid w:val="00605F92"/>
    <w:rsid w:val="00606BE5"/>
    <w:rsid w:val="006115B3"/>
    <w:rsid w:val="00611C1B"/>
    <w:rsid w:val="00612013"/>
    <w:rsid w:val="00613201"/>
    <w:rsid w:val="00613206"/>
    <w:rsid w:val="0061391C"/>
    <w:rsid w:val="00613B0D"/>
    <w:rsid w:val="0061484F"/>
    <w:rsid w:val="00615AA8"/>
    <w:rsid w:val="006161D9"/>
    <w:rsid w:val="00616251"/>
    <w:rsid w:val="00617248"/>
    <w:rsid w:val="0062011B"/>
    <w:rsid w:val="006202BE"/>
    <w:rsid w:val="006214B1"/>
    <w:rsid w:val="006226FF"/>
    <w:rsid w:val="006232EF"/>
    <w:rsid w:val="00623F57"/>
    <w:rsid w:val="00624EDD"/>
    <w:rsid w:val="006252D2"/>
    <w:rsid w:val="00626185"/>
    <w:rsid w:val="00626C27"/>
    <w:rsid w:val="00626FF6"/>
    <w:rsid w:val="006279F0"/>
    <w:rsid w:val="00630008"/>
    <w:rsid w:val="006303CE"/>
    <w:rsid w:val="00631668"/>
    <w:rsid w:val="006316F8"/>
    <w:rsid w:val="0063186C"/>
    <w:rsid w:val="0063198B"/>
    <w:rsid w:val="00631DB7"/>
    <w:rsid w:val="00632447"/>
    <w:rsid w:val="006331CA"/>
    <w:rsid w:val="00633545"/>
    <w:rsid w:val="00633DEA"/>
    <w:rsid w:val="00634C29"/>
    <w:rsid w:val="00634CB6"/>
    <w:rsid w:val="00635634"/>
    <w:rsid w:val="00636BF5"/>
    <w:rsid w:val="00637E4A"/>
    <w:rsid w:val="006415F5"/>
    <w:rsid w:val="00643595"/>
    <w:rsid w:val="006437D1"/>
    <w:rsid w:val="00645780"/>
    <w:rsid w:val="00645A61"/>
    <w:rsid w:val="00645F94"/>
    <w:rsid w:val="006476CE"/>
    <w:rsid w:val="00647778"/>
    <w:rsid w:val="00650888"/>
    <w:rsid w:val="00651A85"/>
    <w:rsid w:val="006543A4"/>
    <w:rsid w:val="0065531A"/>
    <w:rsid w:val="006563E5"/>
    <w:rsid w:val="0065796B"/>
    <w:rsid w:val="00657B3D"/>
    <w:rsid w:val="00657E69"/>
    <w:rsid w:val="00660340"/>
    <w:rsid w:val="006608A4"/>
    <w:rsid w:val="00661B2E"/>
    <w:rsid w:val="00661E0A"/>
    <w:rsid w:val="006626D2"/>
    <w:rsid w:val="00662DAD"/>
    <w:rsid w:val="00663D4C"/>
    <w:rsid w:val="00664C82"/>
    <w:rsid w:val="00665B0D"/>
    <w:rsid w:val="00666294"/>
    <w:rsid w:val="00666409"/>
    <w:rsid w:val="0066709C"/>
    <w:rsid w:val="006670D9"/>
    <w:rsid w:val="00667C0D"/>
    <w:rsid w:val="00667C5F"/>
    <w:rsid w:val="00670BFE"/>
    <w:rsid w:val="006729CB"/>
    <w:rsid w:val="00673261"/>
    <w:rsid w:val="00673C12"/>
    <w:rsid w:val="00674C7E"/>
    <w:rsid w:val="00674DFD"/>
    <w:rsid w:val="006752BB"/>
    <w:rsid w:val="0067736D"/>
    <w:rsid w:val="00677703"/>
    <w:rsid w:val="006777AF"/>
    <w:rsid w:val="00683E93"/>
    <w:rsid w:val="006840F9"/>
    <w:rsid w:val="006852B6"/>
    <w:rsid w:val="00685495"/>
    <w:rsid w:val="00685639"/>
    <w:rsid w:val="00686B52"/>
    <w:rsid w:val="00686DFF"/>
    <w:rsid w:val="0069166E"/>
    <w:rsid w:val="00691A58"/>
    <w:rsid w:val="00691ADC"/>
    <w:rsid w:val="00692176"/>
    <w:rsid w:val="006922E0"/>
    <w:rsid w:val="00693487"/>
    <w:rsid w:val="006942AC"/>
    <w:rsid w:val="00695454"/>
    <w:rsid w:val="0069592E"/>
    <w:rsid w:val="00695DBE"/>
    <w:rsid w:val="00695DE2"/>
    <w:rsid w:val="006A024A"/>
    <w:rsid w:val="006A09DC"/>
    <w:rsid w:val="006A3A2D"/>
    <w:rsid w:val="006A42A7"/>
    <w:rsid w:val="006A53D8"/>
    <w:rsid w:val="006A55D6"/>
    <w:rsid w:val="006A5636"/>
    <w:rsid w:val="006A59F6"/>
    <w:rsid w:val="006A5A7D"/>
    <w:rsid w:val="006A79E2"/>
    <w:rsid w:val="006A7C53"/>
    <w:rsid w:val="006B051B"/>
    <w:rsid w:val="006B1020"/>
    <w:rsid w:val="006B1822"/>
    <w:rsid w:val="006B1E9F"/>
    <w:rsid w:val="006B25A2"/>
    <w:rsid w:val="006B3BC5"/>
    <w:rsid w:val="006B4E10"/>
    <w:rsid w:val="006B501E"/>
    <w:rsid w:val="006B5684"/>
    <w:rsid w:val="006B5EA7"/>
    <w:rsid w:val="006B6EDD"/>
    <w:rsid w:val="006C02C1"/>
    <w:rsid w:val="006C0E85"/>
    <w:rsid w:val="006C187F"/>
    <w:rsid w:val="006C1CA3"/>
    <w:rsid w:val="006C373B"/>
    <w:rsid w:val="006C3B56"/>
    <w:rsid w:val="006C509F"/>
    <w:rsid w:val="006C70E7"/>
    <w:rsid w:val="006D0B22"/>
    <w:rsid w:val="006D0C8A"/>
    <w:rsid w:val="006D1A3A"/>
    <w:rsid w:val="006D1E33"/>
    <w:rsid w:val="006D27FD"/>
    <w:rsid w:val="006D367B"/>
    <w:rsid w:val="006D3F48"/>
    <w:rsid w:val="006D4676"/>
    <w:rsid w:val="006D46D0"/>
    <w:rsid w:val="006D50FD"/>
    <w:rsid w:val="006D5BC3"/>
    <w:rsid w:val="006D669C"/>
    <w:rsid w:val="006D6943"/>
    <w:rsid w:val="006D7B24"/>
    <w:rsid w:val="006D7E82"/>
    <w:rsid w:val="006D7F6E"/>
    <w:rsid w:val="006E0003"/>
    <w:rsid w:val="006E01CB"/>
    <w:rsid w:val="006E0ED3"/>
    <w:rsid w:val="006E225E"/>
    <w:rsid w:val="006E26EF"/>
    <w:rsid w:val="006E27CD"/>
    <w:rsid w:val="006E3472"/>
    <w:rsid w:val="006E3FDA"/>
    <w:rsid w:val="006E44E7"/>
    <w:rsid w:val="006E54F9"/>
    <w:rsid w:val="006E7B4F"/>
    <w:rsid w:val="006E7EE3"/>
    <w:rsid w:val="006F0D3B"/>
    <w:rsid w:val="006F2C9F"/>
    <w:rsid w:val="006F4866"/>
    <w:rsid w:val="006F4DF1"/>
    <w:rsid w:val="006F5783"/>
    <w:rsid w:val="006F582F"/>
    <w:rsid w:val="006F5E02"/>
    <w:rsid w:val="006F64B2"/>
    <w:rsid w:val="0070059D"/>
    <w:rsid w:val="0070182C"/>
    <w:rsid w:val="0070229D"/>
    <w:rsid w:val="007029BD"/>
    <w:rsid w:val="00704787"/>
    <w:rsid w:val="00704A46"/>
    <w:rsid w:val="0070503A"/>
    <w:rsid w:val="0070631C"/>
    <w:rsid w:val="00706773"/>
    <w:rsid w:val="007067B9"/>
    <w:rsid w:val="00710CBE"/>
    <w:rsid w:val="0071163E"/>
    <w:rsid w:val="00711A60"/>
    <w:rsid w:val="00712E64"/>
    <w:rsid w:val="007138DE"/>
    <w:rsid w:val="00714153"/>
    <w:rsid w:val="00714790"/>
    <w:rsid w:val="00714A8A"/>
    <w:rsid w:val="00714CE8"/>
    <w:rsid w:val="007179BE"/>
    <w:rsid w:val="00717C95"/>
    <w:rsid w:val="0072118B"/>
    <w:rsid w:val="00722C98"/>
    <w:rsid w:val="0072302A"/>
    <w:rsid w:val="00724C3F"/>
    <w:rsid w:val="00725011"/>
    <w:rsid w:val="00725199"/>
    <w:rsid w:val="007257C7"/>
    <w:rsid w:val="00725A00"/>
    <w:rsid w:val="00725C62"/>
    <w:rsid w:val="0072675B"/>
    <w:rsid w:val="0072747D"/>
    <w:rsid w:val="00730BB1"/>
    <w:rsid w:val="0073366A"/>
    <w:rsid w:val="007355BE"/>
    <w:rsid w:val="00735D0B"/>
    <w:rsid w:val="00735E2B"/>
    <w:rsid w:val="0073659A"/>
    <w:rsid w:val="00736870"/>
    <w:rsid w:val="00737497"/>
    <w:rsid w:val="00737F0D"/>
    <w:rsid w:val="00737FD4"/>
    <w:rsid w:val="007400E2"/>
    <w:rsid w:val="007400F3"/>
    <w:rsid w:val="00741256"/>
    <w:rsid w:val="007421DB"/>
    <w:rsid w:val="007426D9"/>
    <w:rsid w:val="00742815"/>
    <w:rsid w:val="00742B87"/>
    <w:rsid w:val="00743308"/>
    <w:rsid w:val="00745654"/>
    <w:rsid w:val="0074585B"/>
    <w:rsid w:val="007467D5"/>
    <w:rsid w:val="00746F79"/>
    <w:rsid w:val="007471B5"/>
    <w:rsid w:val="00747799"/>
    <w:rsid w:val="007503D2"/>
    <w:rsid w:val="00750D43"/>
    <w:rsid w:val="00751019"/>
    <w:rsid w:val="00752C0F"/>
    <w:rsid w:val="00753068"/>
    <w:rsid w:val="00754288"/>
    <w:rsid w:val="00754992"/>
    <w:rsid w:val="007568C5"/>
    <w:rsid w:val="00756CE7"/>
    <w:rsid w:val="007574C9"/>
    <w:rsid w:val="007576ED"/>
    <w:rsid w:val="00760BBE"/>
    <w:rsid w:val="007634C6"/>
    <w:rsid w:val="00767017"/>
    <w:rsid w:val="00767D89"/>
    <w:rsid w:val="0077006A"/>
    <w:rsid w:val="007711E2"/>
    <w:rsid w:val="007727C0"/>
    <w:rsid w:val="007732D7"/>
    <w:rsid w:val="00773A41"/>
    <w:rsid w:val="007744CF"/>
    <w:rsid w:val="00774EB3"/>
    <w:rsid w:val="00774F2D"/>
    <w:rsid w:val="00775541"/>
    <w:rsid w:val="00776E4E"/>
    <w:rsid w:val="00777C9E"/>
    <w:rsid w:val="00780233"/>
    <w:rsid w:val="00781D57"/>
    <w:rsid w:val="00781FD7"/>
    <w:rsid w:val="00783022"/>
    <w:rsid w:val="007831D1"/>
    <w:rsid w:val="00785E31"/>
    <w:rsid w:val="0078662F"/>
    <w:rsid w:val="007870C8"/>
    <w:rsid w:val="00791802"/>
    <w:rsid w:val="00791F1A"/>
    <w:rsid w:val="00792985"/>
    <w:rsid w:val="007942A7"/>
    <w:rsid w:val="007950B6"/>
    <w:rsid w:val="00795A3B"/>
    <w:rsid w:val="007961A0"/>
    <w:rsid w:val="007961D5"/>
    <w:rsid w:val="007972E6"/>
    <w:rsid w:val="007A08DE"/>
    <w:rsid w:val="007A1FAE"/>
    <w:rsid w:val="007A4928"/>
    <w:rsid w:val="007A4F65"/>
    <w:rsid w:val="007A5BE6"/>
    <w:rsid w:val="007A60A0"/>
    <w:rsid w:val="007A628B"/>
    <w:rsid w:val="007A6DEE"/>
    <w:rsid w:val="007A74D3"/>
    <w:rsid w:val="007A74F9"/>
    <w:rsid w:val="007B0377"/>
    <w:rsid w:val="007B0EF6"/>
    <w:rsid w:val="007B2525"/>
    <w:rsid w:val="007B254B"/>
    <w:rsid w:val="007B28A0"/>
    <w:rsid w:val="007B2DE7"/>
    <w:rsid w:val="007B367F"/>
    <w:rsid w:val="007B3FA3"/>
    <w:rsid w:val="007B57B5"/>
    <w:rsid w:val="007B642A"/>
    <w:rsid w:val="007B66D7"/>
    <w:rsid w:val="007B765C"/>
    <w:rsid w:val="007B77E0"/>
    <w:rsid w:val="007C1659"/>
    <w:rsid w:val="007C1FD4"/>
    <w:rsid w:val="007C2499"/>
    <w:rsid w:val="007C3623"/>
    <w:rsid w:val="007C451C"/>
    <w:rsid w:val="007C592F"/>
    <w:rsid w:val="007C6938"/>
    <w:rsid w:val="007D0AAF"/>
    <w:rsid w:val="007D0AB4"/>
    <w:rsid w:val="007D2089"/>
    <w:rsid w:val="007D2F77"/>
    <w:rsid w:val="007D32B4"/>
    <w:rsid w:val="007D3AFB"/>
    <w:rsid w:val="007D3C85"/>
    <w:rsid w:val="007D3D58"/>
    <w:rsid w:val="007D4246"/>
    <w:rsid w:val="007D5CE4"/>
    <w:rsid w:val="007E2EF6"/>
    <w:rsid w:val="007E31D7"/>
    <w:rsid w:val="007E378F"/>
    <w:rsid w:val="007E4D59"/>
    <w:rsid w:val="007F06E0"/>
    <w:rsid w:val="007F1A77"/>
    <w:rsid w:val="007F2A6A"/>
    <w:rsid w:val="007F32CC"/>
    <w:rsid w:val="007F4787"/>
    <w:rsid w:val="007F485A"/>
    <w:rsid w:val="007F49E8"/>
    <w:rsid w:val="007F5717"/>
    <w:rsid w:val="007F57CF"/>
    <w:rsid w:val="007F5990"/>
    <w:rsid w:val="007F5BFE"/>
    <w:rsid w:val="007F5F01"/>
    <w:rsid w:val="007F65CC"/>
    <w:rsid w:val="007F6BD6"/>
    <w:rsid w:val="008011EB"/>
    <w:rsid w:val="0080144F"/>
    <w:rsid w:val="00802A3C"/>
    <w:rsid w:val="00802C88"/>
    <w:rsid w:val="00802EFF"/>
    <w:rsid w:val="0080340C"/>
    <w:rsid w:val="008042EC"/>
    <w:rsid w:val="008047CC"/>
    <w:rsid w:val="00806A44"/>
    <w:rsid w:val="00806FD3"/>
    <w:rsid w:val="00807518"/>
    <w:rsid w:val="0080758F"/>
    <w:rsid w:val="00807C12"/>
    <w:rsid w:val="00811C5C"/>
    <w:rsid w:val="008130DC"/>
    <w:rsid w:val="00814456"/>
    <w:rsid w:val="00814B1F"/>
    <w:rsid w:val="008160AB"/>
    <w:rsid w:val="008167DE"/>
    <w:rsid w:val="00817CDC"/>
    <w:rsid w:val="00817F9E"/>
    <w:rsid w:val="00820198"/>
    <w:rsid w:val="00820D07"/>
    <w:rsid w:val="00820F36"/>
    <w:rsid w:val="0082169C"/>
    <w:rsid w:val="008226CC"/>
    <w:rsid w:val="008228CA"/>
    <w:rsid w:val="0082306A"/>
    <w:rsid w:val="00823404"/>
    <w:rsid w:val="00823751"/>
    <w:rsid w:val="00823BC7"/>
    <w:rsid w:val="00823CC2"/>
    <w:rsid w:val="00823F40"/>
    <w:rsid w:val="0082492B"/>
    <w:rsid w:val="00825166"/>
    <w:rsid w:val="00831626"/>
    <w:rsid w:val="00834921"/>
    <w:rsid w:val="00834B97"/>
    <w:rsid w:val="008371DB"/>
    <w:rsid w:val="00840530"/>
    <w:rsid w:val="00840798"/>
    <w:rsid w:val="008417E5"/>
    <w:rsid w:val="00842FBD"/>
    <w:rsid w:val="00843462"/>
    <w:rsid w:val="00844932"/>
    <w:rsid w:val="008452A0"/>
    <w:rsid w:val="00845F9D"/>
    <w:rsid w:val="00846D0F"/>
    <w:rsid w:val="00846ECD"/>
    <w:rsid w:val="00846FCB"/>
    <w:rsid w:val="008472C9"/>
    <w:rsid w:val="00847476"/>
    <w:rsid w:val="00847B28"/>
    <w:rsid w:val="00847BCB"/>
    <w:rsid w:val="00850799"/>
    <w:rsid w:val="0085133B"/>
    <w:rsid w:val="00851A43"/>
    <w:rsid w:val="00851FAF"/>
    <w:rsid w:val="00852650"/>
    <w:rsid w:val="00852A06"/>
    <w:rsid w:val="00853035"/>
    <w:rsid w:val="008531E8"/>
    <w:rsid w:val="00853842"/>
    <w:rsid w:val="008558F8"/>
    <w:rsid w:val="00855A54"/>
    <w:rsid w:val="00855DA7"/>
    <w:rsid w:val="0085608A"/>
    <w:rsid w:val="0085654F"/>
    <w:rsid w:val="008570E7"/>
    <w:rsid w:val="00857BFC"/>
    <w:rsid w:val="00861555"/>
    <w:rsid w:val="00861A33"/>
    <w:rsid w:val="00861B72"/>
    <w:rsid w:val="00862654"/>
    <w:rsid w:val="00862B78"/>
    <w:rsid w:val="00863B7E"/>
    <w:rsid w:val="00864D7B"/>
    <w:rsid w:val="00865996"/>
    <w:rsid w:val="00866410"/>
    <w:rsid w:val="00866942"/>
    <w:rsid w:val="00866EF3"/>
    <w:rsid w:val="008670A3"/>
    <w:rsid w:val="0086717D"/>
    <w:rsid w:val="0086725B"/>
    <w:rsid w:val="0086737E"/>
    <w:rsid w:val="00867FCA"/>
    <w:rsid w:val="00870172"/>
    <w:rsid w:val="008701C3"/>
    <w:rsid w:val="00870632"/>
    <w:rsid w:val="0087125A"/>
    <w:rsid w:val="008716F6"/>
    <w:rsid w:val="00873343"/>
    <w:rsid w:val="00873986"/>
    <w:rsid w:val="008749D2"/>
    <w:rsid w:val="0087517B"/>
    <w:rsid w:val="00875186"/>
    <w:rsid w:val="0087531C"/>
    <w:rsid w:val="00876BFB"/>
    <w:rsid w:val="00880B62"/>
    <w:rsid w:val="008817EB"/>
    <w:rsid w:val="00881EAD"/>
    <w:rsid w:val="00883B44"/>
    <w:rsid w:val="00883CAB"/>
    <w:rsid w:val="008841E8"/>
    <w:rsid w:val="00884357"/>
    <w:rsid w:val="00884494"/>
    <w:rsid w:val="00885F77"/>
    <w:rsid w:val="00886A53"/>
    <w:rsid w:val="00886B87"/>
    <w:rsid w:val="008900B2"/>
    <w:rsid w:val="00890247"/>
    <w:rsid w:val="00890D3B"/>
    <w:rsid w:val="00892E94"/>
    <w:rsid w:val="00892F5B"/>
    <w:rsid w:val="008939C2"/>
    <w:rsid w:val="00893E50"/>
    <w:rsid w:val="00894A8C"/>
    <w:rsid w:val="00895950"/>
    <w:rsid w:val="00896A13"/>
    <w:rsid w:val="008A0555"/>
    <w:rsid w:val="008A1E68"/>
    <w:rsid w:val="008A466E"/>
    <w:rsid w:val="008A5437"/>
    <w:rsid w:val="008A5A2E"/>
    <w:rsid w:val="008A6E0E"/>
    <w:rsid w:val="008A7996"/>
    <w:rsid w:val="008A7C4D"/>
    <w:rsid w:val="008B03E4"/>
    <w:rsid w:val="008B16C2"/>
    <w:rsid w:val="008B1E4A"/>
    <w:rsid w:val="008B2839"/>
    <w:rsid w:val="008B3095"/>
    <w:rsid w:val="008B5F82"/>
    <w:rsid w:val="008B6135"/>
    <w:rsid w:val="008B69C8"/>
    <w:rsid w:val="008B7D4E"/>
    <w:rsid w:val="008C13CD"/>
    <w:rsid w:val="008C1949"/>
    <w:rsid w:val="008C1B37"/>
    <w:rsid w:val="008C2CF7"/>
    <w:rsid w:val="008C2D34"/>
    <w:rsid w:val="008C2F68"/>
    <w:rsid w:val="008C32D5"/>
    <w:rsid w:val="008C3EA4"/>
    <w:rsid w:val="008C4E8D"/>
    <w:rsid w:val="008C5C60"/>
    <w:rsid w:val="008C5C7C"/>
    <w:rsid w:val="008C6844"/>
    <w:rsid w:val="008D1CF6"/>
    <w:rsid w:val="008D340D"/>
    <w:rsid w:val="008D36E7"/>
    <w:rsid w:val="008D3FF2"/>
    <w:rsid w:val="008D4F47"/>
    <w:rsid w:val="008D63D9"/>
    <w:rsid w:val="008D770D"/>
    <w:rsid w:val="008D7F2D"/>
    <w:rsid w:val="008E0B36"/>
    <w:rsid w:val="008E0FC2"/>
    <w:rsid w:val="008E2447"/>
    <w:rsid w:val="008E368F"/>
    <w:rsid w:val="008E36F1"/>
    <w:rsid w:val="008E4EA4"/>
    <w:rsid w:val="008E56FA"/>
    <w:rsid w:val="008E7AB4"/>
    <w:rsid w:val="008F2195"/>
    <w:rsid w:val="008F21FB"/>
    <w:rsid w:val="008F23D2"/>
    <w:rsid w:val="008F277E"/>
    <w:rsid w:val="008F2D30"/>
    <w:rsid w:val="008F3EE5"/>
    <w:rsid w:val="008F48E7"/>
    <w:rsid w:val="008F5DD4"/>
    <w:rsid w:val="008F6048"/>
    <w:rsid w:val="008F61B7"/>
    <w:rsid w:val="008F6923"/>
    <w:rsid w:val="008F6D41"/>
    <w:rsid w:val="0090280F"/>
    <w:rsid w:val="00902A6B"/>
    <w:rsid w:val="00903FD9"/>
    <w:rsid w:val="00904C05"/>
    <w:rsid w:val="00904D9F"/>
    <w:rsid w:val="00904E50"/>
    <w:rsid w:val="009061A8"/>
    <w:rsid w:val="009072D0"/>
    <w:rsid w:val="009106BC"/>
    <w:rsid w:val="00910CB0"/>
    <w:rsid w:val="009113A9"/>
    <w:rsid w:val="00911966"/>
    <w:rsid w:val="00911C6E"/>
    <w:rsid w:val="00911DA4"/>
    <w:rsid w:val="00915C5A"/>
    <w:rsid w:val="00917983"/>
    <w:rsid w:val="00920621"/>
    <w:rsid w:val="009207E9"/>
    <w:rsid w:val="00921900"/>
    <w:rsid w:val="00922C4E"/>
    <w:rsid w:val="00923FBF"/>
    <w:rsid w:val="0092451B"/>
    <w:rsid w:val="009249BF"/>
    <w:rsid w:val="00924B28"/>
    <w:rsid w:val="00924EC0"/>
    <w:rsid w:val="0092670B"/>
    <w:rsid w:val="00927539"/>
    <w:rsid w:val="00927787"/>
    <w:rsid w:val="00931D2A"/>
    <w:rsid w:val="00935675"/>
    <w:rsid w:val="00935CB2"/>
    <w:rsid w:val="00936FB6"/>
    <w:rsid w:val="00937917"/>
    <w:rsid w:val="00937AC1"/>
    <w:rsid w:val="00937E48"/>
    <w:rsid w:val="0094177A"/>
    <w:rsid w:val="00941875"/>
    <w:rsid w:val="00943137"/>
    <w:rsid w:val="00943168"/>
    <w:rsid w:val="009432A7"/>
    <w:rsid w:val="00943508"/>
    <w:rsid w:val="0094366B"/>
    <w:rsid w:val="00944B1B"/>
    <w:rsid w:val="00944EBA"/>
    <w:rsid w:val="00945337"/>
    <w:rsid w:val="00945D93"/>
    <w:rsid w:val="009501AC"/>
    <w:rsid w:val="00951DE2"/>
    <w:rsid w:val="00952641"/>
    <w:rsid w:val="00952964"/>
    <w:rsid w:val="00954AFA"/>
    <w:rsid w:val="00956BD0"/>
    <w:rsid w:val="00957A60"/>
    <w:rsid w:val="00960BEF"/>
    <w:rsid w:val="00960CB4"/>
    <w:rsid w:val="0096179E"/>
    <w:rsid w:val="00961BB9"/>
    <w:rsid w:val="00961F2F"/>
    <w:rsid w:val="00963186"/>
    <w:rsid w:val="009649D3"/>
    <w:rsid w:val="00964F19"/>
    <w:rsid w:val="00966782"/>
    <w:rsid w:val="009677A3"/>
    <w:rsid w:val="009717CB"/>
    <w:rsid w:val="00971E4C"/>
    <w:rsid w:val="009740A8"/>
    <w:rsid w:val="0097585E"/>
    <w:rsid w:val="0097714A"/>
    <w:rsid w:val="009803F2"/>
    <w:rsid w:val="009810AF"/>
    <w:rsid w:val="00982390"/>
    <w:rsid w:val="00983CE9"/>
    <w:rsid w:val="00984162"/>
    <w:rsid w:val="009844FF"/>
    <w:rsid w:val="00984F85"/>
    <w:rsid w:val="0098538E"/>
    <w:rsid w:val="009855F8"/>
    <w:rsid w:val="00985A3A"/>
    <w:rsid w:val="00986283"/>
    <w:rsid w:val="00986840"/>
    <w:rsid w:val="00986BBA"/>
    <w:rsid w:val="00990773"/>
    <w:rsid w:val="00991C26"/>
    <w:rsid w:val="00991D19"/>
    <w:rsid w:val="009920C5"/>
    <w:rsid w:val="00996770"/>
    <w:rsid w:val="00997E4D"/>
    <w:rsid w:val="009A0A05"/>
    <w:rsid w:val="009A0BC0"/>
    <w:rsid w:val="009A1088"/>
    <w:rsid w:val="009A257D"/>
    <w:rsid w:val="009A355D"/>
    <w:rsid w:val="009A39A9"/>
    <w:rsid w:val="009A3F0A"/>
    <w:rsid w:val="009A50B5"/>
    <w:rsid w:val="009A5AD9"/>
    <w:rsid w:val="009A619E"/>
    <w:rsid w:val="009A6F22"/>
    <w:rsid w:val="009A7B38"/>
    <w:rsid w:val="009B040F"/>
    <w:rsid w:val="009B118C"/>
    <w:rsid w:val="009B18D6"/>
    <w:rsid w:val="009B2208"/>
    <w:rsid w:val="009B33B9"/>
    <w:rsid w:val="009B3456"/>
    <w:rsid w:val="009B3879"/>
    <w:rsid w:val="009B3A59"/>
    <w:rsid w:val="009B5FD3"/>
    <w:rsid w:val="009B776A"/>
    <w:rsid w:val="009C12F6"/>
    <w:rsid w:val="009C1AA3"/>
    <w:rsid w:val="009C32AF"/>
    <w:rsid w:val="009C3E8E"/>
    <w:rsid w:val="009C3F97"/>
    <w:rsid w:val="009C4943"/>
    <w:rsid w:val="009C5139"/>
    <w:rsid w:val="009C5240"/>
    <w:rsid w:val="009C5A2F"/>
    <w:rsid w:val="009C6813"/>
    <w:rsid w:val="009C7872"/>
    <w:rsid w:val="009D07F7"/>
    <w:rsid w:val="009D1182"/>
    <w:rsid w:val="009D1880"/>
    <w:rsid w:val="009D3F28"/>
    <w:rsid w:val="009D68EB"/>
    <w:rsid w:val="009D786A"/>
    <w:rsid w:val="009E0B7F"/>
    <w:rsid w:val="009E1108"/>
    <w:rsid w:val="009E1A43"/>
    <w:rsid w:val="009E1BEE"/>
    <w:rsid w:val="009E1F65"/>
    <w:rsid w:val="009E306B"/>
    <w:rsid w:val="009E3A9A"/>
    <w:rsid w:val="009E4459"/>
    <w:rsid w:val="009E4BF9"/>
    <w:rsid w:val="009E4D33"/>
    <w:rsid w:val="009E53E5"/>
    <w:rsid w:val="009E5D40"/>
    <w:rsid w:val="009F057C"/>
    <w:rsid w:val="009F07BB"/>
    <w:rsid w:val="009F07E8"/>
    <w:rsid w:val="009F0CAF"/>
    <w:rsid w:val="009F167C"/>
    <w:rsid w:val="009F3D12"/>
    <w:rsid w:val="009F41D6"/>
    <w:rsid w:val="009F55B3"/>
    <w:rsid w:val="009F57FD"/>
    <w:rsid w:val="009F7353"/>
    <w:rsid w:val="009F745D"/>
    <w:rsid w:val="00A004D5"/>
    <w:rsid w:val="00A00FE7"/>
    <w:rsid w:val="00A02A36"/>
    <w:rsid w:val="00A02BC1"/>
    <w:rsid w:val="00A02C5F"/>
    <w:rsid w:val="00A02D52"/>
    <w:rsid w:val="00A03D1D"/>
    <w:rsid w:val="00A04492"/>
    <w:rsid w:val="00A046D8"/>
    <w:rsid w:val="00A053E2"/>
    <w:rsid w:val="00A054C9"/>
    <w:rsid w:val="00A0644D"/>
    <w:rsid w:val="00A07856"/>
    <w:rsid w:val="00A1036B"/>
    <w:rsid w:val="00A108A2"/>
    <w:rsid w:val="00A1124E"/>
    <w:rsid w:val="00A134AB"/>
    <w:rsid w:val="00A1481A"/>
    <w:rsid w:val="00A16353"/>
    <w:rsid w:val="00A16664"/>
    <w:rsid w:val="00A16E0D"/>
    <w:rsid w:val="00A16E7A"/>
    <w:rsid w:val="00A17458"/>
    <w:rsid w:val="00A17A0D"/>
    <w:rsid w:val="00A17C5B"/>
    <w:rsid w:val="00A20283"/>
    <w:rsid w:val="00A21FB9"/>
    <w:rsid w:val="00A224EA"/>
    <w:rsid w:val="00A22C94"/>
    <w:rsid w:val="00A2365D"/>
    <w:rsid w:val="00A25EDB"/>
    <w:rsid w:val="00A2605E"/>
    <w:rsid w:val="00A264CC"/>
    <w:rsid w:val="00A27AC1"/>
    <w:rsid w:val="00A3025F"/>
    <w:rsid w:val="00A30C03"/>
    <w:rsid w:val="00A31FA9"/>
    <w:rsid w:val="00A32F56"/>
    <w:rsid w:val="00A33517"/>
    <w:rsid w:val="00A33DD4"/>
    <w:rsid w:val="00A346E6"/>
    <w:rsid w:val="00A34AB8"/>
    <w:rsid w:val="00A353F7"/>
    <w:rsid w:val="00A367FB"/>
    <w:rsid w:val="00A36C60"/>
    <w:rsid w:val="00A408AB"/>
    <w:rsid w:val="00A4192D"/>
    <w:rsid w:val="00A42374"/>
    <w:rsid w:val="00A4260D"/>
    <w:rsid w:val="00A43AE3"/>
    <w:rsid w:val="00A43C95"/>
    <w:rsid w:val="00A43F10"/>
    <w:rsid w:val="00A44B6D"/>
    <w:rsid w:val="00A476F0"/>
    <w:rsid w:val="00A47BE8"/>
    <w:rsid w:val="00A51879"/>
    <w:rsid w:val="00A52304"/>
    <w:rsid w:val="00A528C3"/>
    <w:rsid w:val="00A54046"/>
    <w:rsid w:val="00A5414A"/>
    <w:rsid w:val="00A54379"/>
    <w:rsid w:val="00A543BE"/>
    <w:rsid w:val="00A54A5E"/>
    <w:rsid w:val="00A55EA0"/>
    <w:rsid w:val="00A56D16"/>
    <w:rsid w:val="00A57231"/>
    <w:rsid w:val="00A57557"/>
    <w:rsid w:val="00A575BA"/>
    <w:rsid w:val="00A60DCC"/>
    <w:rsid w:val="00A61734"/>
    <w:rsid w:val="00A61965"/>
    <w:rsid w:val="00A63E28"/>
    <w:rsid w:val="00A64B85"/>
    <w:rsid w:val="00A64CBD"/>
    <w:rsid w:val="00A6502D"/>
    <w:rsid w:val="00A65A5D"/>
    <w:rsid w:val="00A663E1"/>
    <w:rsid w:val="00A667E9"/>
    <w:rsid w:val="00A71646"/>
    <w:rsid w:val="00A7192C"/>
    <w:rsid w:val="00A73BBA"/>
    <w:rsid w:val="00A74A45"/>
    <w:rsid w:val="00A77556"/>
    <w:rsid w:val="00A808D7"/>
    <w:rsid w:val="00A8196C"/>
    <w:rsid w:val="00A829F9"/>
    <w:rsid w:val="00A83EB9"/>
    <w:rsid w:val="00A85D93"/>
    <w:rsid w:val="00A867A9"/>
    <w:rsid w:val="00A86F6D"/>
    <w:rsid w:val="00A86FA6"/>
    <w:rsid w:val="00A9127C"/>
    <w:rsid w:val="00A914CE"/>
    <w:rsid w:val="00A914E1"/>
    <w:rsid w:val="00A91544"/>
    <w:rsid w:val="00A918BC"/>
    <w:rsid w:val="00A92A0F"/>
    <w:rsid w:val="00A92C0A"/>
    <w:rsid w:val="00A93930"/>
    <w:rsid w:val="00A94872"/>
    <w:rsid w:val="00A95B74"/>
    <w:rsid w:val="00A962AD"/>
    <w:rsid w:val="00A9695D"/>
    <w:rsid w:val="00AA2583"/>
    <w:rsid w:val="00AA40D8"/>
    <w:rsid w:val="00AA4C85"/>
    <w:rsid w:val="00AA6FAF"/>
    <w:rsid w:val="00AA7120"/>
    <w:rsid w:val="00AB035E"/>
    <w:rsid w:val="00AB1848"/>
    <w:rsid w:val="00AB2FCD"/>
    <w:rsid w:val="00AB3173"/>
    <w:rsid w:val="00AB3491"/>
    <w:rsid w:val="00AB3944"/>
    <w:rsid w:val="00AB765E"/>
    <w:rsid w:val="00AB7A77"/>
    <w:rsid w:val="00AC1083"/>
    <w:rsid w:val="00AC12C0"/>
    <w:rsid w:val="00AC2489"/>
    <w:rsid w:val="00AC2C05"/>
    <w:rsid w:val="00AC3780"/>
    <w:rsid w:val="00AC3933"/>
    <w:rsid w:val="00AC3C24"/>
    <w:rsid w:val="00AC425D"/>
    <w:rsid w:val="00AC4BED"/>
    <w:rsid w:val="00AC5560"/>
    <w:rsid w:val="00AC7864"/>
    <w:rsid w:val="00AC7E79"/>
    <w:rsid w:val="00AD0A92"/>
    <w:rsid w:val="00AD0E29"/>
    <w:rsid w:val="00AD148E"/>
    <w:rsid w:val="00AD20B3"/>
    <w:rsid w:val="00AD555F"/>
    <w:rsid w:val="00AD5691"/>
    <w:rsid w:val="00AD5D29"/>
    <w:rsid w:val="00AD6173"/>
    <w:rsid w:val="00AD622A"/>
    <w:rsid w:val="00AD6CF8"/>
    <w:rsid w:val="00AD6F4B"/>
    <w:rsid w:val="00AD7BC4"/>
    <w:rsid w:val="00AE014D"/>
    <w:rsid w:val="00AE244C"/>
    <w:rsid w:val="00AE2D60"/>
    <w:rsid w:val="00AE3DCA"/>
    <w:rsid w:val="00AE433B"/>
    <w:rsid w:val="00AE4656"/>
    <w:rsid w:val="00AE492A"/>
    <w:rsid w:val="00AE5111"/>
    <w:rsid w:val="00AE58F1"/>
    <w:rsid w:val="00AE6C64"/>
    <w:rsid w:val="00AE7619"/>
    <w:rsid w:val="00AF2C55"/>
    <w:rsid w:val="00AF2E48"/>
    <w:rsid w:val="00AF2E74"/>
    <w:rsid w:val="00AF33D6"/>
    <w:rsid w:val="00AF5125"/>
    <w:rsid w:val="00AF5A82"/>
    <w:rsid w:val="00AF75EB"/>
    <w:rsid w:val="00AF7849"/>
    <w:rsid w:val="00B014ED"/>
    <w:rsid w:val="00B0167F"/>
    <w:rsid w:val="00B01785"/>
    <w:rsid w:val="00B01F02"/>
    <w:rsid w:val="00B03CA5"/>
    <w:rsid w:val="00B04F67"/>
    <w:rsid w:val="00B056E2"/>
    <w:rsid w:val="00B05A50"/>
    <w:rsid w:val="00B05C3A"/>
    <w:rsid w:val="00B0672A"/>
    <w:rsid w:val="00B06BF4"/>
    <w:rsid w:val="00B07F52"/>
    <w:rsid w:val="00B10F90"/>
    <w:rsid w:val="00B11738"/>
    <w:rsid w:val="00B119D5"/>
    <w:rsid w:val="00B11AFD"/>
    <w:rsid w:val="00B12A84"/>
    <w:rsid w:val="00B12B00"/>
    <w:rsid w:val="00B12F00"/>
    <w:rsid w:val="00B13C12"/>
    <w:rsid w:val="00B16209"/>
    <w:rsid w:val="00B20009"/>
    <w:rsid w:val="00B22797"/>
    <w:rsid w:val="00B22C50"/>
    <w:rsid w:val="00B24D2E"/>
    <w:rsid w:val="00B264F8"/>
    <w:rsid w:val="00B275BC"/>
    <w:rsid w:val="00B27C9F"/>
    <w:rsid w:val="00B312C5"/>
    <w:rsid w:val="00B35C85"/>
    <w:rsid w:val="00B36DDE"/>
    <w:rsid w:val="00B36F8A"/>
    <w:rsid w:val="00B379A6"/>
    <w:rsid w:val="00B40529"/>
    <w:rsid w:val="00B41C38"/>
    <w:rsid w:val="00B42639"/>
    <w:rsid w:val="00B42F25"/>
    <w:rsid w:val="00B43166"/>
    <w:rsid w:val="00B432CF"/>
    <w:rsid w:val="00B43F71"/>
    <w:rsid w:val="00B43F83"/>
    <w:rsid w:val="00B44726"/>
    <w:rsid w:val="00B45F72"/>
    <w:rsid w:val="00B46389"/>
    <w:rsid w:val="00B467AB"/>
    <w:rsid w:val="00B4703C"/>
    <w:rsid w:val="00B47D80"/>
    <w:rsid w:val="00B50E1A"/>
    <w:rsid w:val="00B51267"/>
    <w:rsid w:val="00B52802"/>
    <w:rsid w:val="00B52EA0"/>
    <w:rsid w:val="00B52FA1"/>
    <w:rsid w:val="00B536DD"/>
    <w:rsid w:val="00B53CB4"/>
    <w:rsid w:val="00B53FE2"/>
    <w:rsid w:val="00B56C6F"/>
    <w:rsid w:val="00B60229"/>
    <w:rsid w:val="00B60710"/>
    <w:rsid w:val="00B6215A"/>
    <w:rsid w:val="00B636A2"/>
    <w:rsid w:val="00B65D02"/>
    <w:rsid w:val="00B663E4"/>
    <w:rsid w:val="00B668F2"/>
    <w:rsid w:val="00B67FCE"/>
    <w:rsid w:val="00B704ED"/>
    <w:rsid w:val="00B72840"/>
    <w:rsid w:val="00B7430A"/>
    <w:rsid w:val="00B7593E"/>
    <w:rsid w:val="00B75CF1"/>
    <w:rsid w:val="00B76333"/>
    <w:rsid w:val="00B77478"/>
    <w:rsid w:val="00B80E7C"/>
    <w:rsid w:val="00B80EBB"/>
    <w:rsid w:val="00B810D5"/>
    <w:rsid w:val="00B82652"/>
    <w:rsid w:val="00B83032"/>
    <w:rsid w:val="00B83371"/>
    <w:rsid w:val="00B83918"/>
    <w:rsid w:val="00B84825"/>
    <w:rsid w:val="00B8542A"/>
    <w:rsid w:val="00B854B0"/>
    <w:rsid w:val="00B85848"/>
    <w:rsid w:val="00B901C7"/>
    <w:rsid w:val="00B91C1C"/>
    <w:rsid w:val="00B920E4"/>
    <w:rsid w:val="00B9290D"/>
    <w:rsid w:val="00B938A4"/>
    <w:rsid w:val="00B93DEF"/>
    <w:rsid w:val="00B93E17"/>
    <w:rsid w:val="00B94521"/>
    <w:rsid w:val="00B967BD"/>
    <w:rsid w:val="00B976BB"/>
    <w:rsid w:val="00B976C7"/>
    <w:rsid w:val="00BA1C0C"/>
    <w:rsid w:val="00BA22C4"/>
    <w:rsid w:val="00BA244D"/>
    <w:rsid w:val="00BA3953"/>
    <w:rsid w:val="00BA3A2B"/>
    <w:rsid w:val="00BA3A6E"/>
    <w:rsid w:val="00BA49F6"/>
    <w:rsid w:val="00BA58A8"/>
    <w:rsid w:val="00BA5DB2"/>
    <w:rsid w:val="00BA6373"/>
    <w:rsid w:val="00BB04D1"/>
    <w:rsid w:val="00BB0A82"/>
    <w:rsid w:val="00BB0CE0"/>
    <w:rsid w:val="00BB1CC1"/>
    <w:rsid w:val="00BB22EA"/>
    <w:rsid w:val="00BB249D"/>
    <w:rsid w:val="00BB3732"/>
    <w:rsid w:val="00BB46C7"/>
    <w:rsid w:val="00BB63FB"/>
    <w:rsid w:val="00BB7826"/>
    <w:rsid w:val="00BB7A52"/>
    <w:rsid w:val="00BB7C0C"/>
    <w:rsid w:val="00BB7E7A"/>
    <w:rsid w:val="00BC0141"/>
    <w:rsid w:val="00BC1759"/>
    <w:rsid w:val="00BC1F32"/>
    <w:rsid w:val="00BC2A4C"/>
    <w:rsid w:val="00BC312F"/>
    <w:rsid w:val="00BC5537"/>
    <w:rsid w:val="00BC5931"/>
    <w:rsid w:val="00BC5E87"/>
    <w:rsid w:val="00BC6B8C"/>
    <w:rsid w:val="00BC7843"/>
    <w:rsid w:val="00BD0085"/>
    <w:rsid w:val="00BD081E"/>
    <w:rsid w:val="00BD1467"/>
    <w:rsid w:val="00BD2541"/>
    <w:rsid w:val="00BD2C57"/>
    <w:rsid w:val="00BD4E07"/>
    <w:rsid w:val="00BD503E"/>
    <w:rsid w:val="00BD55B9"/>
    <w:rsid w:val="00BD66ED"/>
    <w:rsid w:val="00BD6AC7"/>
    <w:rsid w:val="00BD6AFB"/>
    <w:rsid w:val="00BD6F16"/>
    <w:rsid w:val="00BD76DC"/>
    <w:rsid w:val="00BD7736"/>
    <w:rsid w:val="00BD7A52"/>
    <w:rsid w:val="00BE2165"/>
    <w:rsid w:val="00BE275E"/>
    <w:rsid w:val="00BE38DF"/>
    <w:rsid w:val="00BE3C9A"/>
    <w:rsid w:val="00BE6E65"/>
    <w:rsid w:val="00BE7475"/>
    <w:rsid w:val="00BF00B0"/>
    <w:rsid w:val="00BF25E9"/>
    <w:rsid w:val="00BF27B5"/>
    <w:rsid w:val="00BF3F73"/>
    <w:rsid w:val="00BF4BD9"/>
    <w:rsid w:val="00BF5C14"/>
    <w:rsid w:val="00BF5F9A"/>
    <w:rsid w:val="00BF667B"/>
    <w:rsid w:val="00C0014A"/>
    <w:rsid w:val="00C01F6E"/>
    <w:rsid w:val="00C027E2"/>
    <w:rsid w:val="00C029D3"/>
    <w:rsid w:val="00C02E12"/>
    <w:rsid w:val="00C02E76"/>
    <w:rsid w:val="00C04B75"/>
    <w:rsid w:val="00C11ADE"/>
    <w:rsid w:val="00C11D77"/>
    <w:rsid w:val="00C120F4"/>
    <w:rsid w:val="00C12364"/>
    <w:rsid w:val="00C134EB"/>
    <w:rsid w:val="00C13750"/>
    <w:rsid w:val="00C13D2B"/>
    <w:rsid w:val="00C16D1C"/>
    <w:rsid w:val="00C172B1"/>
    <w:rsid w:val="00C20346"/>
    <w:rsid w:val="00C21562"/>
    <w:rsid w:val="00C21626"/>
    <w:rsid w:val="00C21F1F"/>
    <w:rsid w:val="00C2236C"/>
    <w:rsid w:val="00C22C56"/>
    <w:rsid w:val="00C2378D"/>
    <w:rsid w:val="00C23D8E"/>
    <w:rsid w:val="00C25611"/>
    <w:rsid w:val="00C25C38"/>
    <w:rsid w:val="00C275B5"/>
    <w:rsid w:val="00C27A01"/>
    <w:rsid w:val="00C27A6E"/>
    <w:rsid w:val="00C308D9"/>
    <w:rsid w:val="00C30D4D"/>
    <w:rsid w:val="00C311F1"/>
    <w:rsid w:val="00C322C9"/>
    <w:rsid w:val="00C324AD"/>
    <w:rsid w:val="00C324F8"/>
    <w:rsid w:val="00C32DBC"/>
    <w:rsid w:val="00C337EF"/>
    <w:rsid w:val="00C33E12"/>
    <w:rsid w:val="00C34840"/>
    <w:rsid w:val="00C34CCB"/>
    <w:rsid w:val="00C35D94"/>
    <w:rsid w:val="00C3727D"/>
    <w:rsid w:val="00C37CAE"/>
    <w:rsid w:val="00C404B4"/>
    <w:rsid w:val="00C40B97"/>
    <w:rsid w:val="00C414B6"/>
    <w:rsid w:val="00C41AB9"/>
    <w:rsid w:val="00C42315"/>
    <w:rsid w:val="00C440D8"/>
    <w:rsid w:val="00C440E0"/>
    <w:rsid w:val="00C45255"/>
    <w:rsid w:val="00C4763D"/>
    <w:rsid w:val="00C47D92"/>
    <w:rsid w:val="00C47E6D"/>
    <w:rsid w:val="00C503F5"/>
    <w:rsid w:val="00C50D7C"/>
    <w:rsid w:val="00C50EDB"/>
    <w:rsid w:val="00C51A43"/>
    <w:rsid w:val="00C51F3E"/>
    <w:rsid w:val="00C5212C"/>
    <w:rsid w:val="00C5276E"/>
    <w:rsid w:val="00C529C3"/>
    <w:rsid w:val="00C55193"/>
    <w:rsid w:val="00C5633F"/>
    <w:rsid w:val="00C56ACB"/>
    <w:rsid w:val="00C57418"/>
    <w:rsid w:val="00C574B4"/>
    <w:rsid w:val="00C57571"/>
    <w:rsid w:val="00C60028"/>
    <w:rsid w:val="00C62992"/>
    <w:rsid w:val="00C63159"/>
    <w:rsid w:val="00C63631"/>
    <w:rsid w:val="00C63F04"/>
    <w:rsid w:val="00C64996"/>
    <w:rsid w:val="00C65179"/>
    <w:rsid w:val="00C65278"/>
    <w:rsid w:val="00C654F7"/>
    <w:rsid w:val="00C657D0"/>
    <w:rsid w:val="00C66C3C"/>
    <w:rsid w:val="00C6774D"/>
    <w:rsid w:val="00C67AA3"/>
    <w:rsid w:val="00C72837"/>
    <w:rsid w:val="00C728CE"/>
    <w:rsid w:val="00C72B0F"/>
    <w:rsid w:val="00C76A6D"/>
    <w:rsid w:val="00C77714"/>
    <w:rsid w:val="00C77B05"/>
    <w:rsid w:val="00C77D9E"/>
    <w:rsid w:val="00C806E8"/>
    <w:rsid w:val="00C8142C"/>
    <w:rsid w:val="00C81624"/>
    <w:rsid w:val="00C8173D"/>
    <w:rsid w:val="00C82CFA"/>
    <w:rsid w:val="00C84062"/>
    <w:rsid w:val="00C84E6D"/>
    <w:rsid w:val="00C852EB"/>
    <w:rsid w:val="00C85C60"/>
    <w:rsid w:val="00C85C98"/>
    <w:rsid w:val="00C86325"/>
    <w:rsid w:val="00C879EE"/>
    <w:rsid w:val="00C91804"/>
    <w:rsid w:val="00C91835"/>
    <w:rsid w:val="00C92ADD"/>
    <w:rsid w:val="00C93145"/>
    <w:rsid w:val="00C9337D"/>
    <w:rsid w:val="00C93FFA"/>
    <w:rsid w:val="00C94185"/>
    <w:rsid w:val="00C96633"/>
    <w:rsid w:val="00C96E6B"/>
    <w:rsid w:val="00CA057C"/>
    <w:rsid w:val="00CA1702"/>
    <w:rsid w:val="00CA2264"/>
    <w:rsid w:val="00CA30A7"/>
    <w:rsid w:val="00CA55ED"/>
    <w:rsid w:val="00CA5606"/>
    <w:rsid w:val="00CA6513"/>
    <w:rsid w:val="00CA7008"/>
    <w:rsid w:val="00CA7301"/>
    <w:rsid w:val="00CB1761"/>
    <w:rsid w:val="00CB2724"/>
    <w:rsid w:val="00CB3106"/>
    <w:rsid w:val="00CB483F"/>
    <w:rsid w:val="00CB6AA9"/>
    <w:rsid w:val="00CB6B84"/>
    <w:rsid w:val="00CB6DF6"/>
    <w:rsid w:val="00CC3743"/>
    <w:rsid w:val="00CC3F00"/>
    <w:rsid w:val="00CC456E"/>
    <w:rsid w:val="00CC4728"/>
    <w:rsid w:val="00CC485E"/>
    <w:rsid w:val="00CC4AAE"/>
    <w:rsid w:val="00CC5443"/>
    <w:rsid w:val="00CC560D"/>
    <w:rsid w:val="00CC576A"/>
    <w:rsid w:val="00CC5B42"/>
    <w:rsid w:val="00CC6461"/>
    <w:rsid w:val="00CC65B4"/>
    <w:rsid w:val="00CC7167"/>
    <w:rsid w:val="00CC7247"/>
    <w:rsid w:val="00CC792C"/>
    <w:rsid w:val="00CD21F5"/>
    <w:rsid w:val="00CD256E"/>
    <w:rsid w:val="00CD2EDB"/>
    <w:rsid w:val="00CD3144"/>
    <w:rsid w:val="00CD3788"/>
    <w:rsid w:val="00CD483C"/>
    <w:rsid w:val="00CD4B14"/>
    <w:rsid w:val="00CD4F89"/>
    <w:rsid w:val="00CD5CF9"/>
    <w:rsid w:val="00CD5E96"/>
    <w:rsid w:val="00CD5F5B"/>
    <w:rsid w:val="00CD7465"/>
    <w:rsid w:val="00CD7524"/>
    <w:rsid w:val="00CD764C"/>
    <w:rsid w:val="00CE0A0E"/>
    <w:rsid w:val="00CE3279"/>
    <w:rsid w:val="00CE48B1"/>
    <w:rsid w:val="00CE5B03"/>
    <w:rsid w:val="00CE71C4"/>
    <w:rsid w:val="00CF0154"/>
    <w:rsid w:val="00CF274D"/>
    <w:rsid w:val="00CF28BF"/>
    <w:rsid w:val="00CF3E14"/>
    <w:rsid w:val="00CF4D2E"/>
    <w:rsid w:val="00CF4D84"/>
    <w:rsid w:val="00CF67FB"/>
    <w:rsid w:val="00D01DB4"/>
    <w:rsid w:val="00D02A61"/>
    <w:rsid w:val="00D034CF"/>
    <w:rsid w:val="00D0386D"/>
    <w:rsid w:val="00D03E1E"/>
    <w:rsid w:val="00D03F3D"/>
    <w:rsid w:val="00D0400A"/>
    <w:rsid w:val="00D04CE2"/>
    <w:rsid w:val="00D052A3"/>
    <w:rsid w:val="00D053C6"/>
    <w:rsid w:val="00D065BB"/>
    <w:rsid w:val="00D06911"/>
    <w:rsid w:val="00D07130"/>
    <w:rsid w:val="00D117CC"/>
    <w:rsid w:val="00D1251E"/>
    <w:rsid w:val="00D134E7"/>
    <w:rsid w:val="00D1356E"/>
    <w:rsid w:val="00D145E1"/>
    <w:rsid w:val="00D14E76"/>
    <w:rsid w:val="00D15591"/>
    <w:rsid w:val="00D1734D"/>
    <w:rsid w:val="00D173D9"/>
    <w:rsid w:val="00D202C7"/>
    <w:rsid w:val="00D21BDE"/>
    <w:rsid w:val="00D23032"/>
    <w:rsid w:val="00D236EE"/>
    <w:rsid w:val="00D23E49"/>
    <w:rsid w:val="00D23E4B"/>
    <w:rsid w:val="00D272F0"/>
    <w:rsid w:val="00D276F4"/>
    <w:rsid w:val="00D278B8"/>
    <w:rsid w:val="00D315B3"/>
    <w:rsid w:val="00D3252B"/>
    <w:rsid w:val="00D337C7"/>
    <w:rsid w:val="00D33B8D"/>
    <w:rsid w:val="00D33CA8"/>
    <w:rsid w:val="00D33D6A"/>
    <w:rsid w:val="00D33DFC"/>
    <w:rsid w:val="00D34348"/>
    <w:rsid w:val="00D343A5"/>
    <w:rsid w:val="00D366A4"/>
    <w:rsid w:val="00D40118"/>
    <w:rsid w:val="00D41A61"/>
    <w:rsid w:val="00D43276"/>
    <w:rsid w:val="00D442E5"/>
    <w:rsid w:val="00D44C98"/>
    <w:rsid w:val="00D44F75"/>
    <w:rsid w:val="00D45DF1"/>
    <w:rsid w:val="00D46817"/>
    <w:rsid w:val="00D46A8C"/>
    <w:rsid w:val="00D5050C"/>
    <w:rsid w:val="00D517B4"/>
    <w:rsid w:val="00D519DB"/>
    <w:rsid w:val="00D51D6A"/>
    <w:rsid w:val="00D5248D"/>
    <w:rsid w:val="00D5325A"/>
    <w:rsid w:val="00D551B8"/>
    <w:rsid w:val="00D55B67"/>
    <w:rsid w:val="00D56002"/>
    <w:rsid w:val="00D564E3"/>
    <w:rsid w:val="00D56AAE"/>
    <w:rsid w:val="00D5725D"/>
    <w:rsid w:val="00D57898"/>
    <w:rsid w:val="00D60D64"/>
    <w:rsid w:val="00D61B97"/>
    <w:rsid w:val="00D61C21"/>
    <w:rsid w:val="00D628C7"/>
    <w:rsid w:val="00D62DFE"/>
    <w:rsid w:val="00D62EF1"/>
    <w:rsid w:val="00D62F16"/>
    <w:rsid w:val="00D64017"/>
    <w:rsid w:val="00D64740"/>
    <w:rsid w:val="00D6762B"/>
    <w:rsid w:val="00D70464"/>
    <w:rsid w:val="00D70B06"/>
    <w:rsid w:val="00D745A8"/>
    <w:rsid w:val="00D75DCD"/>
    <w:rsid w:val="00D76859"/>
    <w:rsid w:val="00D76C19"/>
    <w:rsid w:val="00D76C69"/>
    <w:rsid w:val="00D77AF6"/>
    <w:rsid w:val="00D77C3E"/>
    <w:rsid w:val="00D80006"/>
    <w:rsid w:val="00D802B8"/>
    <w:rsid w:val="00D815B7"/>
    <w:rsid w:val="00D83010"/>
    <w:rsid w:val="00D83A86"/>
    <w:rsid w:val="00D86927"/>
    <w:rsid w:val="00D910D4"/>
    <w:rsid w:val="00D91840"/>
    <w:rsid w:val="00D91902"/>
    <w:rsid w:val="00D91C89"/>
    <w:rsid w:val="00D9255C"/>
    <w:rsid w:val="00D92C09"/>
    <w:rsid w:val="00D92E7C"/>
    <w:rsid w:val="00D9433F"/>
    <w:rsid w:val="00D94BB9"/>
    <w:rsid w:val="00D964DE"/>
    <w:rsid w:val="00D977B9"/>
    <w:rsid w:val="00D979D2"/>
    <w:rsid w:val="00DA05E2"/>
    <w:rsid w:val="00DA0CD8"/>
    <w:rsid w:val="00DA1D80"/>
    <w:rsid w:val="00DA2145"/>
    <w:rsid w:val="00DA3314"/>
    <w:rsid w:val="00DA3ECB"/>
    <w:rsid w:val="00DA4071"/>
    <w:rsid w:val="00DA4D9F"/>
    <w:rsid w:val="00DA616D"/>
    <w:rsid w:val="00DA61EB"/>
    <w:rsid w:val="00DB0176"/>
    <w:rsid w:val="00DB0870"/>
    <w:rsid w:val="00DB15D9"/>
    <w:rsid w:val="00DB2075"/>
    <w:rsid w:val="00DB29BA"/>
    <w:rsid w:val="00DB2C5D"/>
    <w:rsid w:val="00DB3B1D"/>
    <w:rsid w:val="00DB4F0F"/>
    <w:rsid w:val="00DB4F6D"/>
    <w:rsid w:val="00DB51ED"/>
    <w:rsid w:val="00DB5F0E"/>
    <w:rsid w:val="00DB5F55"/>
    <w:rsid w:val="00DB6F65"/>
    <w:rsid w:val="00DB71A6"/>
    <w:rsid w:val="00DC04B0"/>
    <w:rsid w:val="00DC07E8"/>
    <w:rsid w:val="00DC108D"/>
    <w:rsid w:val="00DC180E"/>
    <w:rsid w:val="00DC19C0"/>
    <w:rsid w:val="00DC22C5"/>
    <w:rsid w:val="00DC308D"/>
    <w:rsid w:val="00DC3874"/>
    <w:rsid w:val="00DC5BFF"/>
    <w:rsid w:val="00DC5E32"/>
    <w:rsid w:val="00DC6131"/>
    <w:rsid w:val="00DC6C3A"/>
    <w:rsid w:val="00DC76FC"/>
    <w:rsid w:val="00DC79E0"/>
    <w:rsid w:val="00DD14F0"/>
    <w:rsid w:val="00DD1590"/>
    <w:rsid w:val="00DD3BF9"/>
    <w:rsid w:val="00DD4B0D"/>
    <w:rsid w:val="00DD5CA9"/>
    <w:rsid w:val="00DD5D55"/>
    <w:rsid w:val="00DD657E"/>
    <w:rsid w:val="00DD7C2F"/>
    <w:rsid w:val="00DE06D6"/>
    <w:rsid w:val="00DE2944"/>
    <w:rsid w:val="00DE300E"/>
    <w:rsid w:val="00DE329B"/>
    <w:rsid w:val="00DE47C2"/>
    <w:rsid w:val="00DE5A7A"/>
    <w:rsid w:val="00DE6777"/>
    <w:rsid w:val="00DE6D1A"/>
    <w:rsid w:val="00DE75F9"/>
    <w:rsid w:val="00DF0485"/>
    <w:rsid w:val="00DF058D"/>
    <w:rsid w:val="00DF1168"/>
    <w:rsid w:val="00DF1196"/>
    <w:rsid w:val="00DF1AB0"/>
    <w:rsid w:val="00DF27FF"/>
    <w:rsid w:val="00DF2AC4"/>
    <w:rsid w:val="00DF2ADA"/>
    <w:rsid w:val="00DF2D5E"/>
    <w:rsid w:val="00DF345D"/>
    <w:rsid w:val="00DF423E"/>
    <w:rsid w:val="00DF591C"/>
    <w:rsid w:val="00DF6676"/>
    <w:rsid w:val="00DF673E"/>
    <w:rsid w:val="00DF736C"/>
    <w:rsid w:val="00E003AC"/>
    <w:rsid w:val="00E0056E"/>
    <w:rsid w:val="00E012BF"/>
    <w:rsid w:val="00E0152A"/>
    <w:rsid w:val="00E020AE"/>
    <w:rsid w:val="00E0276F"/>
    <w:rsid w:val="00E02DCE"/>
    <w:rsid w:val="00E03306"/>
    <w:rsid w:val="00E03794"/>
    <w:rsid w:val="00E052FE"/>
    <w:rsid w:val="00E061F6"/>
    <w:rsid w:val="00E0659D"/>
    <w:rsid w:val="00E06A04"/>
    <w:rsid w:val="00E06B19"/>
    <w:rsid w:val="00E071A8"/>
    <w:rsid w:val="00E0788C"/>
    <w:rsid w:val="00E07EE4"/>
    <w:rsid w:val="00E07F8B"/>
    <w:rsid w:val="00E10B9E"/>
    <w:rsid w:val="00E14506"/>
    <w:rsid w:val="00E14C77"/>
    <w:rsid w:val="00E1567C"/>
    <w:rsid w:val="00E16BAD"/>
    <w:rsid w:val="00E20232"/>
    <w:rsid w:val="00E2034A"/>
    <w:rsid w:val="00E20918"/>
    <w:rsid w:val="00E20F77"/>
    <w:rsid w:val="00E22DF5"/>
    <w:rsid w:val="00E23716"/>
    <w:rsid w:val="00E2527D"/>
    <w:rsid w:val="00E2641E"/>
    <w:rsid w:val="00E26C54"/>
    <w:rsid w:val="00E30C0D"/>
    <w:rsid w:val="00E322C6"/>
    <w:rsid w:val="00E32469"/>
    <w:rsid w:val="00E336A9"/>
    <w:rsid w:val="00E34EB5"/>
    <w:rsid w:val="00E3521A"/>
    <w:rsid w:val="00E3543A"/>
    <w:rsid w:val="00E36A55"/>
    <w:rsid w:val="00E36BF7"/>
    <w:rsid w:val="00E37232"/>
    <w:rsid w:val="00E400F4"/>
    <w:rsid w:val="00E402B1"/>
    <w:rsid w:val="00E40CD7"/>
    <w:rsid w:val="00E4182A"/>
    <w:rsid w:val="00E418E1"/>
    <w:rsid w:val="00E4277B"/>
    <w:rsid w:val="00E42787"/>
    <w:rsid w:val="00E4294C"/>
    <w:rsid w:val="00E42C0F"/>
    <w:rsid w:val="00E43327"/>
    <w:rsid w:val="00E4365B"/>
    <w:rsid w:val="00E45F88"/>
    <w:rsid w:val="00E4654F"/>
    <w:rsid w:val="00E471B1"/>
    <w:rsid w:val="00E476B2"/>
    <w:rsid w:val="00E478FB"/>
    <w:rsid w:val="00E47C3B"/>
    <w:rsid w:val="00E50361"/>
    <w:rsid w:val="00E50F0E"/>
    <w:rsid w:val="00E51745"/>
    <w:rsid w:val="00E51EB8"/>
    <w:rsid w:val="00E52061"/>
    <w:rsid w:val="00E525FD"/>
    <w:rsid w:val="00E53CA3"/>
    <w:rsid w:val="00E5453D"/>
    <w:rsid w:val="00E55EBF"/>
    <w:rsid w:val="00E56030"/>
    <w:rsid w:val="00E5706F"/>
    <w:rsid w:val="00E574EA"/>
    <w:rsid w:val="00E60245"/>
    <w:rsid w:val="00E61FAD"/>
    <w:rsid w:val="00E62627"/>
    <w:rsid w:val="00E65154"/>
    <w:rsid w:val="00E6519A"/>
    <w:rsid w:val="00E673F1"/>
    <w:rsid w:val="00E6759D"/>
    <w:rsid w:val="00E70B66"/>
    <w:rsid w:val="00E70E8B"/>
    <w:rsid w:val="00E71C1D"/>
    <w:rsid w:val="00E71C90"/>
    <w:rsid w:val="00E71D09"/>
    <w:rsid w:val="00E72BEC"/>
    <w:rsid w:val="00E736C3"/>
    <w:rsid w:val="00E744C7"/>
    <w:rsid w:val="00E760C6"/>
    <w:rsid w:val="00E765D8"/>
    <w:rsid w:val="00E76683"/>
    <w:rsid w:val="00E769BA"/>
    <w:rsid w:val="00E80BFF"/>
    <w:rsid w:val="00E81637"/>
    <w:rsid w:val="00E821F0"/>
    <w:rsid w:val="00E82E79"/>
    <w:rsid w:val="00E851BC"/>
    <w:rsid w:val="00E85CC3"/>
    <w:rsid w:val="00E86C7B"/>
    <w:rsid w:val="00E90297"/>
    <w:rsid w:val="00E913AF"/>
    <w:rsid w:val="00E93CB7"/>
    <w:rsid w:val="00E93D07"/>
    <w:rsid w:val="00E94F89"/>
    <w:rsid w:val="00E951F6"/>
    <w:rsid w:val="00E95AAB"/>
    <w:rsid w:val="00E96C54"/>
    <w:rsid w:val="00E97898"/>
    <w:rsid w:val="00E97DA0"/>
    <w:rsid w:val="00E97F72"/>
    <w:rsid w:val="00EA13A6"/>
    <w:rsid w:val="00EA16F0"/>
    <w:rsid w:val="00EA1845"/>
    <w:rsid w:val="00EA24E1"/>
    <w:rsid w:val="00EA2F8C"/>
    <w:rsid w:val="00EA38B8"/>
    <w:rsid w:val="00EA3D82"/>
    <w:rsid w:val="00EA4379"/>
    <w:rsid w:val="00EA4BA5"/>
    <w:rsid w:val="00EA4C8D"/>
    <w:rsid w:val="00EA6872"/>
    <w:rsid w:val="00EA6ACD"/>
    <w:rsid w:val="00EA7ADF"/>
    <w:rsid w:val="00EA7E06"/>
    <w:rsid w:val="00EB170E"/>
    <w:rsid w:val="00EB178F"/>
    <w:rsid w:val="00EB2558"/>
    <w:rsid w:val="00EB2C5C"/>
    <w:rsid w:val="00EB3294"/>
    <w:rsid w:val="00EB3583"/>
    <w:rsid w:val="00EB36F6"/>
    <w:rsid w:val="00EB3F6E"/>
    <w:rsid w:val="00EB42B5"/>
    <w:rsid w:val="00EB4F1C"/>
    <w:rsid w:val="00EB6139"/>
    <w:rsid w:val="00EB6420"/>
    <w:rsid w:val="00EB6BBF"/>
    <w:rsid w:val="00EB6D91"/>
    <w:rsid w:val="00EB70F3"/>
    <w:rsid w:val="00EB76A8"/>
    <w:rsid w:val="00EC069D"/>
    <w:rsid w:val="00EC227C"/>
    <w:rsid w:val="00EC291F"/>
    <w:rsid w:val="00EC2DEB"/>
    <w:rsid w:val="00EC4751"/>
    <w:rsid w:val="00EC59BC"/>
    <w:rsid w:val="00EC68ED"/>
    <w:rsid w:val="00ED0F9A"/>
    <w:rsid w:val="00ED124E"/>
    <w:rsid w:val="00ED17CE"/>
    <w:rsid w:val="00ED2428"/>
    <w:rsid w:val="00ED31B0"/>
    <w:rsid w:val="00ED4897"/>
    <w:rsid w:val="00ED5FE4"/>
    <w:rsid w:val="00ED646D"/>
    <w:rsid w:val="00ED68A3"/>
    <w:rsid w:val="00EE05B1"/>
    <w:rsid w:val="00EE1318"/>
    <w:rsid w:val="00EE26C6"/>
    <w:rsid w:val="00EE2D2D"/>
    <w:rsid w:val="00EE38DF"/>
    <w:rsid w:val="00EE4C9D"/>
    <w:rsid w:val="00EF0233"/>
    <w:rsid w:val="00EF0316"/>
    <w:rsid w:val="00EF0411"/>
    <w:rsid w:val="00EF0589"/>
    <w:rsid w:val="00EF0F37"/>
    <w:rsid w:val="00EF1FD1"/>
    <w:rsid w:val="00EF4DD7"/>
    <w:rsid w:val="00EF631E"/>
    <w:rsid w:val="00F002A1"/>
    <w:rsid w:val="00F0070E"/>
    <w:rsid w:val="00F00B63"/>
    <w:rsid w:val="00F00E20"/>
    <w:rsid w:val="00F02AF7"/>
    <w:rsid w:val="00F031CF"/>
    <w:rsid w:val="00F03247"/>
    <w:rsid w:val="00F04A14"/>
    <w:rsid w:val="00F05A02"/>
    <w:rsid w:val="00F05EED"/>
    <w:rsid w:val="00F06FD0"/>
    <w:rsid w:val="00F109DB"/>
    <w:rsid w:val="00F11436"/>
    <w:rsid w:val="00F11B42"/>
    <w:rsid w:val="00F1218D"/>
    <w:rsid w:val="00F138F7"/>
    <w:rsid w:val="00F13CC0"/>
    <w:rsid w:val="00F14148"/>
    <w:rsid w:val="00F145F8"/>
    <w:rsid w:val="00F1554A"/>
    <w:rsid w:val="00F17B3C"/>
    <w:rsid w:val="00F20665"/>
    <w:rsid w:val="00F21501"/>
    <w:rsid w:val="00F2193E"/>
    <w:rsid w:val="00F240C7"/>
    <w:rsid w:val="00F248C4"/>
    <w:rsid w:val="00F259D4"/>
    <w:rsid w:val="00F304D8"/>
    <w:rsid w:val="00F30B00"/>
    <w:rsid w:val="00F31146"/>
    <w:rsid w:val="00F31176"/>
    <w:rsid w:val="00F31865"/>
    <w:rsid w:val="00F33142"/>
    <w:rsid w:val="00F33BAE"/>
    <w:rsid w:val="00F35F2F"/>
    <w:rsid w:val="00F36194"/>
    <w:rsid w:val="00F363A2"/>
    <w:rsid w:val="00F37033"/>
    <w:rsid w:val="00F3718D"/>
    <w:rsid w:val="00F401F2"/>
    <w:rsid w:val="00F40604"/>
    <w:rsid w:val="00F418B1"/>
    <w:rsid w:val="00F41E3B"/>
    <w:rsid w:val="00F42178"/>
    <w:rsid w:val="00F42E73"/>
    <w:rsid w:val="00F4367D"/>
    <w:rsid w:val="00F43FEA"/>
    <w:rsid w:val="00F44B30"/>
    <w:rsid w:val="00F45150"/>
    <w:rsid w:val="00F47F96"/>
    <w:rsid w:val="00F50FCC"/>
    <w:rsid w:val="00F53B3C"/>
    <w:rsid w:val="00F53C1E"/>
    <w:rsid w:val="00F54AFA"/>
    <w:rsid w:val="00F54BD8"/>
    <w:rsid w:val="00F54C07"/>
    <w:rsid w:val="00F6177A"/>
    <w:rsid w:val="00F627ED"/>
    <w:rsid w:val="00F667FC"/>
    <w:rsid w:val="00F6755D"/>
    <w:rsid w:val="00F67C9B"/>
    <w:rsid w:val="00F67D06"/>
    <w:rsid w:val="00F67F1F"/>
    <w:rsid w:val="00F704C4"/>
    <w:rsid w:val="00F70DB3"/>
    <w:rsid w:val="00F7192E"/>
    <w:rsid w:val="00F72DF9"/>
    <w:rsid w:val="00F73937"/>
    <w:rsid w:val="00F73B03"/>
    <w:rsid w:val="00F73F30"/>
    <w:rsid w:val="00F77ADA"/>
    <w:rsid w:val="00F77AEA"/>
    <w:rsid w:val="00F806B2"/>
    <w:rsid w:val="00F82022"/>
    <w:rsid w:val="00F823E4"/>
    <w:rsid w:val="00F8286C"/>
    <w:rsid w:val="00F82984"/>
    <w:rsid w:val="00F83150"/>
    <w:rsid w:val="00F8543F"/>
    <w:rsid w:val="00F85D2B"/>
    <w:rsid w:val="00F867D3"/>
    <w:rsid w:val="00F87A71"/>
    <w:rsid w:val="00F90463"/>
    <w:rsid w:val="00F90611"/>
    <w:rsid w:val="00F9064F"/>
    <w:rsid w:val="00F916FF"/>
    <w:rsid w:val="00F917FB"/>
    <w:rsid w:val="00F93FC7"/>
    <w:rsid w:val="00F94D90"/>
    <w:rsid w:val="00F954F5"/>
    <w:rsid w:val="00F95D17"/>
    <w:rsid w:val="00F96202"/>
    <w:rsid w:val="00F967F0"/>
    <w:rsid w:val="00F979AD"/>
    <w:rsid w:val="00F97C83"/>
    <w:rsid w:val="00FA018A"/>
    <w:rsid w:val="00FA05B0"/>
    <w:rsid w:val="00FA1768"/>
    <w:rsid w:val="00FA18C9"/>
    <w:rsid w:val="00FA25F6"/>
    <w:rsid w:val="00FA2D7D"/>
    <w:rsid w:val="00FA4FC7"/>
    <w:rsid w:val="00FA530A"/>
    <w:rsid w:val="00FA5CC2"/>
    <w:rsid w:val="00FA6073"/>
    <w:rsid w:val="00FA79BE"/>
    <w:rsid w:val="00FA7C16"/>
    <w:rsid w:val="00FB1D9F"/>
    <w:rsid w:val="00FB203E"/>
    <w:rsid w:val="00FB2F5C"/>
    <w:rsid w:val="00FB3018"/>
    <w:rsid w:val="00FB4437"/>
    <w:rsid w:val="00FB4BE0"/>
    <w:rsid w:val="00FB5CBA"/>
    <w:rsid w:val="00FB6FF0"/>
    <w:rsid w:val="00FC00F3"/>
    <w:rsid w:val="00FC05F1"/>
    <w:rsid w:val="00FC09FD"/>
    <w:rsid w:val="00FC0B12"/>
    <w:rsid w:val="00FC0BF8"/>
    <w:rsid w:val="00FC0FE3"/>
    <w:rsid w:val="00FC1883"/>
    <w:rsid w:val="00FC1ADA"/>
    <w:rsid w:val="00FC21E6"/>
    <w:rsid w:val="00FC26E6"/>
    <w:rsid w:val="00FC2A14"/>
    <w:rsid w:val="00FC3934"/>
    <w:rsid w:val="00FC3CB5"/>
    <w:rsid w:val="00FC3D30"/>
    <w:rsid w:val="00FC46C2"/>
    <w:rsid w:val="00FC4D49"/>
    <w:rsid w:val="00FC79D4"/>
    <w:rsid w:val="00FD0C05"/>
    <w:rsid w:val="00FD0D33"/>
    <w:rsid w:val="00FD1EDE"/>
    <w:rsid w:val="00FD299E"/>
    <w:rsid w:val="00FD29A2"/>
    <w:rsid w:val="00FD3EC2"/>
    <w:rsid w:val="00FD4D89"/>
    <w:rsid w:val="00FD5BF4"/>
    <w:rsid w:val="00FD5E5A"/>
    <w:rsid w:val="00FD626F"/>
    <w:rsid w:val="00FE0AFE"/>
    <w:rsid w:val="00FE0F13"/>
    <w:rsid w:val="00FE0F4D"/>
    <w:rsid w:val="00FE19FE"/>
    <w:rsid w:val="00FE1CCA"/>
    <w:rsid w:val="00FE202A"/>
    <w:rsid w:val="00FE20E9"/>
    <w:rsid w:val="00FE2480"/>
    <w:rsid w:val="00FE2D9F"/>
    <w:rsid w:val="00FE2F4F"/>
    <w:rsid w:val="00FE3FCA"/>
    <w:rsid w:val="00FE4065"/>
    <w:rsid w:val="00FE5832"/>
    <w:rsid w:val="00FE59AC"/>
    <w:rsid w:val="00FE5B7C"/>
    <w:rsid w:val="00FF0A30"/>
    <w:rsid w:val="00FF1B11"/>
    <w:rsid w:val="00FF1F5A"/>
    <w:rsid w:val="00FF33CB"/>
    <w:rsid w:val="00FF3DD6"/>
    <w:rsid w:val="00FF414E"/>
    <w:rsid w:val="00FF5168"/>
    <w:rsid w:val="00FF5C52"/>
    <w:rsid w:val="00FF5CFD"/>
    <w:rsid w:val="00FF601C"/>
    <w:rsid w:val="00FF6032"/>
    <w:rsid w:val="00FF6269"/>
    <w:rsid w:val="010866A4"/>
    <w:rsid w:val="0148AF65"/>
    <w:rsid w:val="020B5D43"/>
    <w:rsid w:val="025896F5"/>
    <w:rsid w:val="02F249BF"/>
    <w:rsid w:val="032365DF"/>
    <w:rsid w:val="0342E1CB"/>
    <w:rsid w:val="0406322F"/>
    <w:rsid w:val="0411D6A1"/>
    <w:rsid w:val="046CA987"/>
    <w:rsid w:val="04F78A9D"/>
    <w:rsid w:val="04F7B2EE"/>
    <w:rsid w:val="05C5D0D7"/>
    <w:rsid w:val="063554F3"/>
    <w:rsid w:val="06B36962"/>
    <w:rsid w:val="0781DA58"/>
    <w:rsid w:val="08599B66"/>
    <w:rsid w:val="087395CB"/>
    <w:rsid w:val="08973028"/>
    <w:rsid w:val="09B5442C"/>
    <w:rsid w:val="09B83072"/>
    <w:rsid w:val="09EDDB1A"/>
    <w:rsid w:val="0B454A27"/>
    <w:rsid w:val="0B5E5370"/>
    <w:rsid w:val="0B7A9203"/>
    <w:rsid w:val="0BC69F5C"/>
    <w:rsid w:val="0C57824F"/>
    <w:rsid w:val="0CDC05C8"/>
    <w:rsid w:val="0CEE1AB7"/>
    <w:rsid w:val="0D4A9A3D"/>
    <w:rsid w:val="0DF4BCF7"/>
    <w:rsid w:val="0E03AEED"/>
    <w:rsid w:val="0E53A378"/>
    <w:rsid w:val="0E723632"/>
    <w:rsid w:val="0ECBD94D"/>
    <w:rsid w:val="0EFFF100"/>
    <w:rsid w:val="0F73476D"/>
    <w:rsid w:val="0F9AD70E"/>
    <w:rsid w:val="0FB19BE9"/>
    <w:rsid w:val="104F9C79"/>
    <w:rsid w:val="10BA1851"/>
    <w:rsid w:val="10FAE9F0"/>
    <w:rsid w:val="11374A20"/>
    <w:rsid w:val="11CFEA31"/>
    <w:rsid w:val="11F83AAF"/>
    <w:rsid w:val="124497AD"/>
    <w:rsid w:val="1294FE26"/>
    <w:rsid w:val="12B58794"/>
    <w:rsid w:val="12B981ED"/>
    <w:rsid w:val="12D7A3CC"/>
    <w:rsid w:val="1455888C"/>
    <w:rsid w:val="148ABDCD"/>
    <w:rsid w:val="150A1281"/>
    <w:rsid w:val="15B2BA38"/>
    <w:rsid w:val="15CA4D3F"/>
    <w:rsid w:val="16BC9DA3"/>
    <w:rsid w:val="179E65BF"/>
    <w:rsid w:val="17A0C20F"/>
    <w:rsid w:val="19AAD27F"/>
    <w:rsid w:val="19E9A7FF"/>
    <w:rsid w:val="1B3701AC"/>
    <w:rsid w:val="1B6D3190"/>
    <w:rsid w:val="1BFC31F0"/>
    <w:rsid w:val="1C4BAA76"/>
    <w:rsid w:val="1D37E869"/>
    <w:rsid w:val="1D81DFB2"/>
    <w:rsid w:val="1DA5A69C"/>
    <w:rsid w:val="1E55069E"/>
    <w:rsid w:val="1F24E10E"/>
    <w:rsid w:val="1FE1999E"/>
    <w:rsid w:val="207BE592"/>
    <w:rsid w:val="207D80B7"/>
    <w:rsid w:val="208A1A5E"/>
    <w:rsid w:val="20EF901D"/>
    <w:rsid w:val="214E6E12"/>
    <w:rsid w:val="21F31168"/>
    <w:rsid w:val="21F9FC7D"/>
    <w:rsid w:val="225C9BAF"/>
    <w:rsid w:val="2285747A"/>
    <w:rsid w:val="22E63D32"/>
    <w:rsid w:val="2326A48C"/>
    <w:rsid w:val="238C0AC1"/>
    <w:rsid w:val="23D7DCCE"/>
    <w:rsid w:val="23E8D5C3"/>
    <w:rsid w:val="23F10394"/>
    <w:rsid w:val="2435ED4B"/>
    <w:rsid w:val="248602CE"/>
    <w:rsid w:val="2497615B"/>
    <w:rsid w:val="24F26FBA"/>
    <w:rsid w:val="2513AFD7"/>
    <w:rsid w:val="25A66315"/>
    <w:rsid w:val="260F702A"/>
    <w:rsid w:val="267700AB"/>
    <w:rsid w:val="26D624EA"/>
    <w:rsid w:val="276AD214"/>
    <w:rsid w:val="279EB57D"/>
    <w:rsid w:val="289EA137"/>
    <w:rsid w:val="28AC206D"/>
    <w:rsid w:val="2AD4D33D"/>
    <w:rsid w:val="2B4862EA"/>
    <w:rsid w:val="2B79FA38"/>
    <w:rsid w:val="2CB7188F"/>
    <w:rsid w:val="2D6FAEDB"/>
    <w:rsid w:val="2E0DBB9C"/>
    <w:rsid w:val="2E232005"/>
    <w:rsid w:val="2E3111FF"/>
    <w:rsid w:val="2E3172EC"/>
    <w:rsid w:val="2E4A5AB1"/>
    <w:rsid w:val="2E97E6BC"/>
    <w:rsid w:val="2FB89057"/>
    <w:rsid w:val="308D8576"/>
    <w:rsid w:val="310A38BB"/>
    <w:rsid w:val="310CD010"/>
    <w:rsid w:val="320CE06D"/>
    <w:rsid w:val="32229B68"/>
    <w:rsid w:val="322C028E"/>
    <w:rsid w:val="3254AD07"/>
    <w:rsid w:val="330B7030"/>
    <w:rsid w:val="3380EFE1"/>
    <w:rsid w:val="33DEDECA"/>
    <w:rsid w:val="34198D5E"/>
    <w:rsid w:val="34C863E8"/>
    <w:rsid w:val="34D33BB9"/>
    <w:rsid w:val="35467982"/>
    <w:rsid w:val="3687B9F5"/>
    <w:rsid w:val="37118CD1"/>
    <w:rsid w:val="377DCE0F"/>
    <w:rsid w:val="37D7C0B1"/>
    <w:rsid w:val="383683F5"/>
    <w:rsid w:val="3839768F"/>
    <w:rsid w:val="393C3356"/>
    <w:rsid w:val="397AF79B"/>
    <w:rsid w:val="39E11450"/>
    <w:rsid w:val="3A160C87"/>
    <w:rsid w:val="3A61FF93"/>
    <w:rsid w:val="3A9FD786"/>
    <w:rsid w:val="3CB103B5"/>
    <w:rsid w:val="3CB39E23"/>
    <w:rsid w:val="3D03BB4D"/>
    <w:rsid w:val="3D42D7F8"/>
    <w:rsid w:val="3EF5D9C6"/>
    <w:rsid w:val="3F4E98AC"/>
    <w:rsid w:val="4019C8DA"/>
    <w:rsid w:val="40B4B469"/>
    <w:rsid w:val="410ECF2D"/>
    <w:rsid w:val="415E9A02"/>
    <w:rsid w:val="4296051B"/>
    <w:rsid w:val="43065052"/>
    <w:rsid w:val="4343B326"/>
    <w:rsid w:val="4454FB9E"/>
    <w:rsid w:val="4506EC63"/>
    <w:rsid w:val="4516B3FC"/>
    <w:rsid w:val="45802E04"/>
    <w:rsid w:val="45FD227D"/>
    <w:rsid w:val="46BA492A"/>
    <w:rsid w:val="471A8EFE"/>
    <w:rsid w:val="471EC53F"/>
    <w:rsid w:val="473B0659"/>
    <w:rsid w:val="4792D7E2"/>
    <w:rsid w:val="498B2BA8"/>
    <w:rsid w:val="4AF6B1AD"/>
    <w:rsid w:val="4B47799C"/>
    <w:rsid w:val="4C1D611A"/>
    <w:rsid w:val="4C5BC4A7"/>
    <w:rsid w:val="4D871213"/>
    <w:rsid w:val="4DA26775"/>
    <w:rsid w:val="4DD1962E"/>
    <w:rsid w:val="4DDD69A9"/>
    <w:rsid w:val="4DF2C5B9"/>
    <w:rsid w:val="4E143957"/>
    <w:rsid w:val="4EB15623"/>
    <w:rsid w:val="4EC1DE0D"/>
    <w:rsid w:val="4EDD24B9"/>
    <w:rsid w:val="4FA5BA8D"/>
    <w:rsid w:val="4FE5E315"/>
    <w:rsid w:val="51845135"/>
    <w:rsid w:val="526A7641"/>
    <w:rsid w:val="52C65BD7"/>
    <w:rsid w:val="53EB6176"/>
    <w:rsid w:val="54626524"/>
    <w:rsid w:val="558360DD"/>
    <w:rsid w:val="55F0D3EA"/>
    <w:rsid w:val="55FA04E5"/>
    <w:rsid w:val="568BF845"/>
    <w:rsid w:val="569A06F2"/>
    <w:rsid w:val="572923E9"/>
    <w:rsid w:val="57311F31"/>
    <w:rsid w:val="57672A0D"/>
    <w:rsid w:val="58028725"/>
    <w:rsid w:val="583F711E"/>
    <w:rsid w:val="597B4A67"/>
    <w:rsid w:val="59926EF4"/>
    <w:rsid w:val="5A8720C5"/>
    <w:rsid w:val="5AB2C862"/>
    <w:rsid w:val="5AECAE1B"/>
    <w:rsid w:val="5B253211"/>
    <w:rsid w:val="5BFD53AD"/>
    <w:rsid w:val="5C7CFB44"/>
    <w:rsid w:val="5C9C273B"/>
    <w:rsid w:val="5DAA483E"/>
    <w:rsid w:val="5DCD47AD"/>
    <w:rsid w:val="5E4B1104"/>
    <w:rsid w:val="5E61B282"/>
    <w:rsid w:val="5E739341"/>
    <w:rsid w:val="5EE40D43"/>
    <w:rsid w:val="5F0959E1"/>
    <w:rsid w:val="5F3707F0"/>
    <w:rsid w:val="5F589BA0"/>
    <w:rsid w:val="6021CF1C"/>
    <w:rsid w:val="60F33FFC"/>
    <w:rsid w:val="61EF2786"/>
    <w:rsid w:val="64058089"/>
    <w:rsid w:val="6412F378"/>
    <w:rsid w:val="6452C6E1"/>
    <w:rsid w:val="64998141"/>
    <w:rsid w:val="64A3DBC4"/>
    <w:rsid w:val="655457A2"/>
    <w:rsid w:val="65807E39"/>
    <w:rsid w:val="65A396E1"/>
    <w:rsid w:val="65EF556B"/>
    <w:rsid w:val="664BC063"/>
    <w:rsid w:val="668414A8"/>
    <w:rsid w:val="673607A3"/>
    <w:rsid w:val="675B1387"/>
    <w:rsid w:val="677CFF9A"/>
    <w:rsid w:val="677D6678"/>
    <w:rsid w:val="68052907"/>
    <w:rsid w:val="680CE386"/>
    <w:rsid w:val="6893B826"/>
    <w:rsid w:val="68AEE5F2"/>
    <w:rsid w:val="68B4DCF1"/>
    <w:rsid w:val="68C1BDCB"/>
    <w:rsid w:val="6A06E0BD"/>
    <w:rsid w:val="6A3CCA07"/>
    <w:rsid w:val="6A449A0F"/>
    <w:rsid w:val="6ACF543E"/>
    <w:rsid w:val="6AD10554"/>
    <w:rsid w:val="6AEFBE34"/>
    <w:rsid w:val="6B257551"/>
    <w:rsid w:val="6B8E55F5"/>
    <w:rsid w:val="6C19456F"/>
    <w:rsid w:val="6C48B348"/>
    <w:rsid w:val="6CF7E2DA"/>
    <w:rsid w:val="6CF7E875"/>
    <w:rsid w:val="6D852E41"/>
    <w:rsid w:val="6DCB9862"/>
    <w:rsid w:val="6E965864"/>
    <w:rsid w:val="6F0181E2"/>
    <w:rsid w:val="6F1BC26B"/>
    <w:rsid w:val="6F3A0AD5"/>
    <w:rsid w:val="6F4F558E"/>
    <w:rsid w:val="6FFD3FA8"/>
    <w:rsid w:val="7099738B"/>
    <w:rsid w:val="70D7F392"/>
    <w:rsid w:val="71171298"/>
    <w:rsid w:val="7189514F"/>
    <w:rsid w:val="71DAB6C9"/>
    <w:rsid w:val="71E3D1D5"/>
    <w:rsid w:val="724C777E"/>
    <w:rsid w:val="7410CA50"/>
    <w:rsid w:val="7523F028"/>
    <w:rsid w:val="763F5343"/>
    <w:rsid w:val="766B115B"/>
    <w:rsid w:val="766DB128"/>
    <w:rsid w:val="76DC4A45"/>
    <w:rsid w:val="76E8BA74"/>
    <w:rsid w:val="77845A08"/>
    <w:rsid w:val="78EB21F4"/>
    <w:rsid w:val="7A2CE699"/>
    <w:rsid w:val="7A96D26F"/>
    <w:rsid w:val="7B1C7974"/>
    <w:rsid w:val="7B4F7975"/>
    <w:rsid w:val="7D3F2B0E"/>
    <w:rsid w:val="7D83B574"/>
    <w:rsid w:val="7DCFEC33"/>
    <w:rsid w:val="7E745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A8BF7EBA-29AA-4DE9-B404-33F64D0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EC"/>
    <w:pPr>
      <w:spacing w:before="160" w:after="160" w:line="360" w:lineRule="auto"/>
    </w:pPr>
    <w:rPr>
      <w:rFonts w:ascii="Arial" w:hAnsi="Arial"/>
      <w:color w:val="000000" w:themeColor="text1"/>
      <w:sz w:val="28"/>
      <w:szCs w:val="22"/>
    </w:rPr>
  </w:style>
  <w:style w:type="paragraph" w:styleId="Heading1">
    <w:name w:val="heading 1"/>
    <w:basedOn w:val="Normal"/>
    <w:next w:val="Normal"/>
    <w:link w:val="Heading1Char"/>
    <w:uiPriority w:val="9"/>
    <w:qFormat/>
    <w:rsid w:val="00B40529"/>
    <w:pPr>
      <w:keepNext/>
      <w:keepLines/>
      <w:spacing w:before="240" w:after="240" w:line="240" w:lineRule="auto"/>
      <w:outlineLvl w:val="0"/>
    </w:pPr>
    <w:rPr>
      <w:rFonts w:eastAsiaTheme="majorEastAsia" w:cstheme="majorBidi"/>
      <w:b/>
      <w:sz w:val="48"/>
      <w:szCs w:val="40"/>
    </w:rPr>
  </w:style>
  <w:style w:type="paragraph" w:styleId="Heading2">
    <w:name w:val="heading 2"/>
    <w:aliases w:val="Num H2,Heading2,2nd,Paragraph,Para Nos,Sub Heading,ignorer2,Subsection,Heading 2 Left,Heading 2 Char Char,Char2,Char,Heading 2 Char Char Char Char,Heading 2 Char Char Char1,§1.1,§1.1.,Oscar Faber 2,Numbered 2,heading b,TITLE 2,L2,~SubHeading,*"/>
    <w:basedOn w:val="Normal"/>
    <w:next w:val="Normal"/>
    <w:link w:val="Heading2Char"/>
    <w:uiPriority w:val="2"/>
    <w:unhideWhenUsed/>
    <w:qFormat/>
    <w:rsid w:val="009C1AA3"/>
    <w:pPr>
      <w:keepNext/>
      <w:keepLines/>
      <w:spacing w:before="0" w:after="0"/>
      <w:outlineLvl w:val="1"/>
    </w:pPr>
    <w:rPr>
      <w:rFonts w:eastAsia="Times New Roman" w:cs="Arial"/>
      <w:b/>
      <w:bCs/>
      <w:kern w:val="0"/>
      <w:sz w:val="36"/>
      <w:szCs w:val="32"/>
      <w:lang w:eastAsia="en-GB"/>
      <w14:ligatures w14:val="none"/>
    </w:rPr>
  </w:style>
  <w:style w:type="paragraph" w:styleId="Heading3">
    <w:name w:val="heading 3"/>
    <w:basedOn w:val="Writingtext"/>
    <w:next w:val="Normal"/>
    <w:link w:val="Heading3Char"/>
    <w:uiPriority w:val="9"/>
    <w:unhideWhenUsed/>
    <w:qFormat/>
    <w:rsid w:val="007C592F"/>
    <w:pPr>
      <w:spacing w:before="240"/>
      <w:outlineLvl w:val="2"/>
    </w:pPr>
    <w:rPr>
      <w:b/>
      <w:bCs w:val="0"/>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29"/>
    <w:rPr>
      <w:rFonts w:ascii="Arial" w:eastAsiaTheme="majorEastAsia" w:hAnsi="Arial" w:cstheme="majorBidi"/>
      <w:b/>
      <w:color w:val="000000" w:themeColor="text1"/>
      <w:sz w:val="48"/>
      <w:szCs w:val="40"/>
    </w:rPr>
  </w:style>
  <w:style w:type="character" w:customStyle="1" w:styleId="Heading2Char">
    <w:name w:val="Heading 2 Char"/>
    <w:aliases w:val="Num H2 Char,Heading2 Char,2nd Char,Paragraph Char,Para Nos Char,Sub Heading Char,ignorer2 Char,Subsection Char,Heading 2 Left Char,Heading 2 Char Char Char,Char2 Char,Char Char,Heading 2 Char Char Char Char Char,§1.1 Char,§1.1. Char"/>
    <w:basedOn w:val="DefaultParagraphFont"/>
    <w:link w:val="Heading2"/>
    <w:uiPriority w:val="2"/>
    <w:rsid w:val="009C1AA3"/>
    <w:rPr>
      <w:rFonts w:ascii="Arial" w:eastAsia="Times New Roman" w:hAnsi="Arial" w:cs="Arial"/>
      <w:b/>
      <w:bCs/>
      <w:color w:val="000000" w:themeColor="text1"/>
      <w:kern w:val="0"/>
      <w:sz w:val="36"/>
      <w:szCs w:val="32"/>
      <w:lang w:eastAsia="en-GB"/>
      <w14:ligatures w14:val="none"/>
    </w:rPr>
  </w:style>
  <w:style w:type="character" w:customStyle="1" w:styleId="Heading3Char">
    <w:name w:val="Heading 3 Char"/>
    <w:basedOn w:val="DefaultParagraphFont"/>
    <w:link w:val="Heading3"/>
    <w:uiPriority w:val="9"/>
    <w:rsid w:val="007C592F"/>
    <w:rPr>
      <w:rFonts w:ascii="Arial" w:hAnsi="Arial" w:cs="Arial"/>
      <w:b/>
      <w:kern w:val="0"/>
      <w:sz w:val="28"/>
      <w:szCs w:val="28"/>
      <w14:ligatures w14:val="none"/>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F03247"/>
    <w:pPr>
      <w:spacing w:after="80"/>
      <w:contextualSpacing/>
    </w:pPr>
    <w:rPr>
      <w:rFonts w:eastAsiaTheme="majorEastAsia" w:cstheme="majorBidi"/>
      <w:b/>
      <w:spacing w:val="-10"/>
      <w:kern w:val="28"/>
      <w:sz w:val="96"/>
      <w:szCs w:val="56"/>
    </w:rPr>
  </w:style>
  <w:style w:type="character" w:customStyle="1" w:styleId="TitleChar">
    <w:name w:val="Title Char"/>
    <w:basedOn w:val="DefaultParagraphFont"/>
    <w:link w:val="Title"/>
    <w:uiPriority w:val="10"/>
    <w:rsid w:val="00F03247"/>
    <w:rPr>
      <w:rFonts w:ascii="Arial" w:eastAsiaTheme="majorEastAsia" w:hAnsi="Arial" w:cstheme="majorBidi"/>
      <w:b/>
      <w:spacing w:val="-10"/>
      <w:kern w:val="28"/>
      <w:sz w:val="96"/>
      <w:szCs w:val="56"/>
    </w:rPr>
  </w:style>
  <w:style w:type="paragraph" w:styleId="Subtitle">
    <w:name w:val="Subtitle"/>
    <w:basedOn w:val="Normal"/>
    <w:next w:val="Normal"/>
    <w:link w:val="SubtitleChar"/>
    <w:uiPriority w:val="11"/>
    <w:qFormat/>
    <w:rsid w:val="00CD5CF9"/>
    <w:pPr>
      <w:numPr>
        <w:ilvl w:val="1"/>
      </w:numPr>
    </w:pPr>
    <w:rPr>
      <w:rFonts w:asciiTheme="majorHAnsi" w:eastAsiaTheme="majorEastAsia" w:hAnsiTheme="majorHAnsi" w:cstheme="majorBidi"/>
      <w:spacing w:val="15"/>
      <w:sz w:val="52"/>
      <w:szCs w:val="28"/>
    </w:rPr>
  </w:style>
  <w:style w:type="character" w:customStyle="1" w:styleId="SubtitleChar">
    <w:name w:val="Subtitle Char"/>
    <w:basedOn w:val="DefaultParagraphFont"/>
    <w:link w:val="Subtitle"/>
    <w:uiPriority w:val="11"/>
    <w:rsid w:val="00CD5CF9"/>
    <w:rPr>
      <w:rFonts w:asciiTheme="majorHAnsi" w:eastAsiaTheme="majorEastAsia" w:hAnsiTheme="majorHAnsi" w:cstheme="majorBidi"/>
      <w:color w:val="000000" w:themeColor="text1"/>
      <w:spacing w:val="15"/>
      <w:sz w:val="52"/>
      <w:szCs w:val="28"/>
    </w:rPr>
  </w:style>
  <w:style w:type="paragraph" w:styleId="Quote">
    <w:name w:val="Quote"/>
    <w:basedOn w:val="Normal"/>
    <w:next w:val="Normal"/>
    <w:link w:val="QuoteChar"/>
    <w:uiPriority w:val="29"/>
    <w:qFormat/>
    <w:rsid w:val="003F70B0"/>
    <w:pPr>
      <w:jc w:val="center"/>
    </w:pPr>
    <w:rPr>
      <w:i/>
      <w:iCs/>
      <w:color w:val="404040" w:themeColor="text1" w:themeTint="BF"/>
    </w:rPr>
  </w:style>
  <w:style w:type="character" w:customStyle="1" w:styleId="QuoteChar">
    <w:name w:val="Quote Char"/>
    <w:basedOn w:val="DefaultParagraphFont"/>
    <w:link w:val="Quote"/>
    <w:uiPriority w:val="29"/>
    <w:rsid w:val="003F70B0"/>
    <w:rPr>
      <w:i/>
      <w:iCs/>
      <w:color w:val="404040" w:themeColor="text1" w:themeTint="BF"/>
      <w:sz w:val="22"/>
      <w:szCs w:val="22"/>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b/>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pPr>
    <w:rPr>
      <w:rFonts w:ascii="Lexend" w:hAnsi="Lexend" w:cstheme="minorHAnsi"/>
      <w:bCs/>
      <w:iCs/>
    </w:rPr>
  </w:style>
  <w:style w:type="paragraph" w:styleId="TOC2">
    <w:name w:val="toc 2"/>
    <w:basedOn w:val="Normal"/>
    <w:next w:val="Normal"/>
    <w:autoRedefine/>
    <w:uiPriority w:val="39"/>
    <w:unhideWhenUsed/>
    <w:rsid w:val="0060475A"/>
    <w:pPr>
      <w:tabs>
        <w:tab w:val="left" w:pos="720"/>
        <w:tab w:val="right" w:leader="dot" w:pos="9016"/>
      </w:tabs>
      <w:spacing w:before="120"/>
    </w:pPr>
    <w:rPr>
      <w:rFonts w:cstheme="minorHAnsi"/>
      <w:b/>
      <w:bCs/>
    </w:rPr>
  </w:style>
  <w:style w:type="paragraph" w:customStyle="1" w:styleId="Text">
    <w:name w:val="Text"/>
    <w:basedOn w:val="Normal"/>
    <w:qFormat/>
    <w:rsid w:val="00C41AB9"/>
    <w:rPr>
      <w:rFonts w:eastAsia="Calibri"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unhideWhenUsed/>
    <w:rsid w:val="00C0014A"/>
    <w:rPr>
      <w:color w:val="605E5C"/>
      <w:shd w:val="clear" w:color="auto" w:fill="E1DFDD"/>
    </w:rPr>
  </w:style>
  <w:style w:type="character" w:customStyle="1" w:styleId="ListParagraphChar">
    <w:name w:val="List Paragraph Char"/>
    <w:basedOn w:val="DefaultParagraphFont"/>
    <w:link w:val="ListParagraph"/>
    <w:uiPriority w:val="34"/>
    <w:locked/>
    <w:rsid w:val="004503A7"/>
  </w:style>
  <w:style w:type="paragraph" w:customStyle="1" w:styleId="Writingtext">
    <w:name w:val="Writing text"/>
    <w:basedOn w:val="Normal"/>
    <w:link w:val="WritingtextChar"/>
    <w:qFormat/>
    <w:rsid w:val="002F52DF"/>
    <w:rPr>
      <w:rFonts w:cs="Arial"/>
      <w:bCs/>
      <w:kern w:val="0"/>
      <w:szCs w:val="28"/>
      <w14:ligatures w14:val="none"/>
    </w:rPr>
  </w:style>
  <w:style w:type="character" w:customStyle="1" w:styleId="WritingtextChar">
    <w:name w:val="Writing text Char"/>
    <w:basedOn w:val="DefaultParagraphFont"/>
    <w:link w:val="Writingtext"/>
    <w:rsid w:val="002F52DF"/>
    <w:rPr>
      <w:rFonts w:ascii="Arial" w:hAnsi="Arial" w:cs="Arial"/>
      <w:bCs/>
      <w:kern w:val="0"/>
      <w:sz w:val="28"/>
      <w:szCs w:val="28"/>
      <w14:ligatures w14:val="none"/>
    </w:rPr>
  </w:style>
  <w:style w:type="paragraph" w:styleId="Revision">
    <w:name w:val="Revision"/>
    <w:hidden/>
    <w:uiPriority w:val="99"/>
    <w:semiHidden/>
    <w:rsid w:val="00A1036B"/>
    <w:rPr>
      <w:kern w:val="0"/>
      <w:sz w:val="22"/>
      <w:szCs w:val="22"/>
      <w14:ligatures w14:val="none"/>
    </w:rPr>
  </w:style>
  <w:style w:type="character" w:customStyle="1" w:styleId="UnresolvedMention1">
    <w:name w:val="Unresolved Mention1"/>
    <w:basedOn w:val="DefaultParagraphFont"/>
    <w:uiPriority w:val="99"/>
    <w:semiHidden/>
    <w:unhideWhenUsed/>
    <w:rsid w:val="00A1036B"/>
    <w:rPr>
      <w:color w:val="605E5C"/>
      <w:shd w:val="clear" w:color="auto" w:fill="E1DFDD"/>
    </w:rPr>
  </w:style>
  <w:style w:type="paragraph" w:customStyle="1" w:styleId="MainChapterHeadingH2">
    <w:name w:val="Main Chapter Heading (H2)"/>
    <w:basedOn w:val="Heading1"/>
    <w:next w:val="ChapterSub-headingH3"/>
    <w:qFormat/>
    <w:rsid w:val="00A1036B"/>
    <w:pPr>
      <w:numPr>
        <w:numId w:val="3"/>
      </w:numPr>
      <w:spacing w:after="0" w:line="360" w:lineRule="auto"/>
    </w:pPr>
    <w:rPr>
      <w:rFonts w:eastAsia="Calibri" w:cs="Calibri"/>
      <w:b w:val="0"/>
      <w:bCs/>
      <w:color w:val="auto"/>
      <w:kern w:val="0"/>
      <w:szCs w:val="32"/>
      <w14:ligatures w14:val="none"/>
    </w:rPr>
  </w:style>
  <w:style w:type="paragraph" w:customStyle="1" w:styleId="Style1">
    <w:name w:val="Style1"/>
    <w:basedOn w:val="Heading2"/>
    <w:next w:val="Text"/>
    <w:link w:val="Style1Char"/>
    <w:qFormat/>
    <w:rsid w:val="00A1036B"/>
    <w:pPr>
      <w:spacing w:before="40"/>
    </w:pPr>
    <w:rPr>
      <w:rFonts w:ascii="Neue Haas Grotesk Text Pro" w:eastAsia="Calibri" w:hAnsi="Neue Haas Grotesk Text Pro" w:cs="Calibri"/>
      <w:color w:val="0F4761" w:themeColor="accent1" w:themeShade="BF"/>
      <w:szCs w:val="26"/>
    </w:rPr>
  </w:style>
  <w:style w:type="character" w:styleId="Emphasis">
    <w:name w:val="Emphasis"/>
    <w:basedOn w:val="DefaultParagraphFont"/>
    <w:uiPriority w:val="20"/>
    <w:qFormat/>
    <w:rsid w:val="00A1036B"/>
    <w:rPr>
      <w:i/>
      <w:iCs/>
    </w:rPr>
  </w:style>
  <w:style w:type="character" w:styleId="FollowedHyperlink">
    <w:name w:val="FollowedHyperlink"/>
    <w:basedOn w:val="DefaultParagraphFont"/>
    <w:uiPriority w:val="99"/>
    <w:semiHidden/>
    <w:unhideWhenUsed/>
    <w:rsid w:val="00A1036B"/>
    <w:rPr>
      <w:color w:val="96607D" w:themeColor="followedHyperlink"/>
      <w:u w:val="single"/>
    </w:rPr>
  </w:style>
  <w:style w:type="table" w:styleId="TableGridLight">
    <w:name w:val="Grid Table Light"/>
    <w:basedOn w:val="TableNormal"/>
    <w:uiPriority w:val="40"/>
    <w:rsid w:val="00A1036B"/>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A1036B"/>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1036B"/>
    <w:rPr>
      <w:rFonts w:ascii="Segoe UI" w:hAnsi="Segoe UI" w:cs="Segoe UI"/>
      <w:kern w:val="0"/>
      <w:sz w:val="18"/>
      <w:szCs w:val="18"/>
      <w14:ligatures w14:val="none"/>
    </w:rPr>
  </w:style>
  <w:style w:type="character" w:styleId="Mention">
    <w:name w:val="Mention"/>
    <w:basedOn w:val="DefaultParagraphFont"/>
    <w:uiPriority w:val="99"/>
    <w:unhideWhenUsed/>
    <w:rsid w:val="00A1036B"/>
    <w:rPr>
      <w:color w:val="2B579A"/>
      <w:shd w:val="clear" w:color="auto" w:fill="E1DFDD"/>
    </w:rPr>
  </w:style>
  <w:style w:type="character" w:styleId="Strong">
    <w:name w:val="Strong"/>
    <w:basedOn w:val="DefaultParagraphFont"/>
    <w:uiPriority w:val="22"/>
    <w:qFormat/>
    <w:rsid w:val="00A1036B"/>
    <w:rPr>
      <w:b/>
      <w:bCs/>
    </w:rPr>
  </w:style>
  <w:style w:type="character" w:customStyle="1" w:styleId="Style1Char">
    <w:name w:val="Style1 Char"/>
    <w:basedOn w:val="Heading2Char"/>
    <w:link w:val="Style1"/>
    <w:rsid w:val="00A1036B"/>
    <w:rPr>
      <w:rFonts w:ascii="Neue Haas Grotesk Text Pro" w:eastAsia="Calibri" w:hAnsi="Neue Haas Grotesk Text Pro" w:cs="Calibri"/>
      <w:b/>
      <w:bCs/>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A1036B"/>
    <w:rPr>
      <w:rFonts w:ascii="Arial" w:hAnsi="Arial"/>
    </w:rPr>
  </w:style>
  <w:style w:type="table" w:styleId="PlainTable2">
    <w:name w:val="Plain Table 2"/>
    <w:basedOn w:val="TableNormal"/>
    <w:uiPriority w:val="42"/>
    <w:rsid w:val="00A1036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A1036B"/>
    <w:rPr>
      <w:rFonts w:ascii="Arial" w:eastAsia="Calibri" w:hAnsi="Arial" w:cs="Calibri"/>
      <w:b/>
      <w:bCs/>
      <w:color w:val="0F4761" w:themeColor="accent1" w:themeShade="BF"/>
      <w:kern w:val="0"/>
      <w:sz w:val="32"/>
      <w:szCs w:val="26"/>
      <w:lang w:eastAsia="en-GB"/>
      <w14:ligatures w14:val="none"/>
    </w:rPr>
  </w:style>
  <w:style w:type="table" w:styleId="PlainTable5">
    <w:name w:val="Plain Table 5"/>
    <w:basedOn w:val="TableNormal"/>
    <w:uiPriority w:val="45"/>
    <w:rsid w:val="00A1036B"/>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A1036B"/>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A1036B"/>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A1036B"/>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1036B"/>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A1036B"/>
    <w:rPr>
      <w:kern w:val="0"/>
      <w:sz w:val="22"/>
      <w:szCs w:val="22"/>
      <w14:ligatures w14:val="none"/>
    </w:rPr>
    <w:tblPr/>
  </w:style>
  <w:style w:type="table" w:customStyle="1" w:styleId="NCATTable2">
    <w:name w:val="NCAT Table 2"/>
    <w:basedOn w:val="TableNormal"/>
    <w:uiPriority w:val="99"/>
    <w:rsid w:val="00A1036B"/>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A1036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36B"/>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1036B"/>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36B"/>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A1036B"/>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A103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A1036B"/>
  </w:style>
  <w:style w:type="paragraph" w:styleId="TOCHeading">
    <w:name w:val="TOC Heading"/>
    <w:basedOn w:val="Heading1"/>
    <w:next w:val="Normal"/>
    <w:uiPriority w:val="39"/>
    <w:unhideWhenUsed/>
    <w:qFormat/>
    <w:rsid w:val="00A1036B"/>
    <w:pPr>
      <w:spacing w:after="0"/>
      <w:outlineLvl w:val="9"/>
    </w:pPr>
    <w:rPr>
      <w:kern w:val="0"/>
      <w:sz w:val="32"/>
      <w:szCs w:val="32"/>
      <w:lang w:val="en-US"/>
      <w14:ligatures w14:val="none"/>
    </w:rPr>
  </w:style>
  <w:style w:type="paragraph" w:styleId="BodyText">
    <w:name w:val="Body Text"/>
    <w:link w:val="BodyTextChar"/>
    <w:qFormat/>
    <w:rsid w:val="004B4991"/>
    <w:pPr>
      <w:spacing w:before="120" w:after="120" w:line="276" w:lineRule="auto"/>
    </w:pPr>
    <w:rPr>
      <w:rFonts w:ascii="Arial" w:hAnsi="Arial"/>
      <w:kern w:val="0"/>
      <w:sz w:val="22"/>
      <w:szCs w:val="22"/>
      <w14:ligatures w14:val="none"/>
    </w:rPr>
  </w:style>
  <w:style w:type="character" w:customStyle="1" w:styleId="BodyTextChar">
    <w:name w:val="Body Text Char"/>
    <w:basedOn w:val="DefaultParagraphFont"/>
    <w:link w:val="BodyText"/>
    <w:rsid w:val="004B4991"/>
    <w:rPr>
      <w:rFonts w:ascii="Arial" w:hAnsi="Arial"/>
      <w:kern w:val="0"/>
      <w:sz w:val="22"/>
      <w:szCs w:val="22"/>
      <w14:ligatures w14:val="none"/>
    </w:rPr>
  </w:style>
  <w:style w:type="character" w:customStyle="1" w:styleId="apple-converted-space">
    <w:name w:val="apple-converted-space"/>
    <w:basedOn w:val="DefaultParagraphFont"/>
    <w:rsid w:val="001D0C2C"/>
  </w:style>
  <w:style w:type="character" w:customStyle="1" w:styleId="outlook-search-highlight">
    <w:name w:val="outlook-search-highlight"/>
    <w:basedOn w:val="DefaultParagraphFont"/>
    <w:rsid w:val="001D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4887">
      <w:bodyDiv w:val="1"/>
      <w:marLeft w:val="0"/>
      <w:marRight w:val="0"/>
      <w:marTop w:val="0"/>
      <w:marBottom w:val="0"/>
      <w:divBdr>
        <w:top w:val="none" w:sz="0" w:space="0" w:color="auto"/>
        <w:left w:val="none" w:sz="0" w:space="0" w:color="auto"/>
        <w:bottom w:val="none" w:sz="0" w:space="0" w:color="auto"/>
        <w:right w:val="none" w:sz="0" w:space="0" w:color="auto"/>
      </w:divBdr>
    </w:div>
    <w:div w:id="77141734">
      <w:bodyDiv w:val="1"/>
      <w:marLeft w:val="0"/>
      <w:marRight w:val="0"/>
      <w:marTop w:val="0"/>
      <w:marBottom w:val="0"/>
      <w:divBdr>
        <w:top w:val="none" w:sz="0" w:space="0" w:color="auto"/>
        <w:left w:val="none" w:sz="0" w:space="0" w:color="auto"/>
        <w:bottom w:val="none" w:sz="0" w:space="0" w:color="auto"/>
        <w:right w:val="none" w:sz="0" w:space="0" w:color="auto"/>
      </w:divBdr>
    </w:div>
    <w:div w:id="109861731">
      <w:bodyDiv w:val="1"/>
      <w:marLeft w:val="0"/>
      <w:marRight w:val="0"/>
      <w:marTop w:val="0"/>
      <w:marBottom w:val="0"/>
      <w:divBdr>
        <w:top w:val="none" w:sz="0" w:space="0" w:color="auto"/>
        <w:left w:val="none" w:sz="0" w:space="0" w:color="auto"/>
        <w:bottom w:val="none" w:sz="0" w:space="0" w:color="auto"/>
        <w:right w:val="none" w:sz="0" w:space="0" w:color="auto"/>
      </w:divBdr>
    </w:div>
    <w:div w:id="143014586">
      <w:bodyDiv w:val="1"/>
      <w:marLeft w:val="0"/>
      <w:marRight w:val="0"/>
      <w:marTop w:val="0"/>
      <w:marBottom w:val="0"/>
      <w:divBdr>
        <w:top w:val="none" w:sz="0" w:space="0" w:color="auto"/>
        <w:left w:val="none" w:sz="0" w:space="0" w:color="auto"/>
        <w:bottom w:val="none" w:sz="0" w:space="0" w:color="auto"/>
        <w:right w:val="none" w:sz="0" w:space="0" w:color="auto"/>
      </w:divBdr>
    </w:div>
    <w:div w:id="193810007">
      <w:bodyDiv w:val="1"/>
      <w:marLeft w:val="0"/>
      <w:marRight w:val="0"/>
      <w:marTop w:val="0"/>
      <w:marBottom w:val="0"/>
      <w:divBdr>
        <w:top w:val="none" w:sz="0" w:space="0" w:color="auto"/>
        <w:left w:val="none" w:sz="0" w:space="0" w:color="auto"/>
        <w:bottom w:val="none" w:sz="0" w:space="0" w:color="auto"/>
        <w:right w:val="none" w:sz="0" w:space="0" w:color="auto"/>
      </w:divBdr>
    </w:div>
    <w:div w:id="206066476">
      <w:bodyDiv w:val="1"/>
      <w:marLeft w:val="0"/>
      <w:marRight w:val="0"/>
      <w:marTop w:val="0"/>
      <w:marBottom w:val="0"/>
      <w:divBdr>
        <w:top w:val="none" w:sz="0" w:space="0" w:color="auto"/>
        <w:left w:val="none" w:sz="0" w:space="0" w:color="auto"/>
        <w:bottom w:val="none" w:sz="0" w:space="0" w:color="auto"/>
        <w:right w:val="none" w:sz="0" w:space="0" w:color="auto"/>
      </w:divBdr>
    </w:div>
    <w:div w:id="263003633">
      <w:bodyDiv w:val="1"/>
      <w:marLeft w:val="0"/>
      <w:marRight w:val="0"/>
      <w:marTop w:val="0"/>
      <w:marBottom w:val="0"/>
      <w:divBdr>
        <w:top w:val="none" w:sz="0" w:space="0" w:color="auto"/>
        <w:left w:val="none" w:sz="0" w:space="0" w:color="auto"/>
        <w:bottom w:val="none" w:sz="0" w:space="0" w:color="auto"/>
        <w:right w:val="none" w:sz="0" w:space="0" w:color="auto"/>
      </w:divBdr>
    </w:div>
    <w:div w:id="291374725">
      <w:bodyDiv w:val="1"/>
      <w:marLeft w:val="0"/>
      <w:marRight w:val="0"/>
      <w:marTop w:val="0"/>
      <w:marBottom w:val="0"/>
      <w:divBdr>
        <w:top w:val="none" w:sz="0" w:space="0" w:color="auto"/>
        <w:left w:val="none" w:sz="0" w:space="0" w:color="auto"/>
        <w:bottom w:val="none" w:sz="0" w:space="0" w:color="auto"/>
        <w:right w:val="none" w:sz="0" w:space="0" w:color="auto"/>
      </w:divBdr>
    </w:div>
    <w:div w:id="336346773">
      <w:bodyDiv w:val="1"/>
      <w:marLeft w:val="0"/>
      <w:marRight w:val="0"/>
      <w:marTop w:val="0"/>
      <w:marBottom w:val="0"/>
      <w:divBdr>
        <w:top w:val="none" w:sz="0" w:space="0" w:color="auto"/>
        <w:left w:val="none" w:sz="0" w:space="0" w:color="auto"/>
        <w:bottom w:val="none" w:sz="0" w:space="0" w:color="auto"/>
        <w:right w:val="none" w:sz="0" w:space="0" w:color="auto"/>
      </w:divBdr>
    </w:div>
    <w:div w:id="337083436">
      <w:bodyDiv w:val="1"/>
      <w:marLeft w:val="0"/>
      <w:marRight w:val="0"/>
      <w:marTop w:val="0"/>
      <w:marBottom w:val="0"/>
      <w:divBdr>
        <w:top w:val="none" w:sz="0" w:space="0" w:color="auto"/>
        <w:left w:val="none" w:sz="0" w:space="0" w:color="auto"/>
        <w:bottom w:val="none" w:sz="0" w:space="0" w:color="auto"/>
        <w:right w:val="none" w:sz="0" w:space="0" w:color="auto"/>
      </w:divBdr>
    </w:div>
    <w:div w:id="360788912">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59637450">
      <w:bodyDiv w:val="1"/>
      <w:marLeft w:val="0"/>
      <w:marRight w:val="0"/>
      <w:marTop w:val="0"/>
      <w:marBottom w:val="0"/>
      <w:divBdr>
        <w:top w:val="none" w:sz="0" w:space="0" w:color="auto"/>
        <w:left w:val="none" w:sz="0" w:space="0" w:color="auto"/>
        <w:bottom w:val="none" w:sz="0" w:space="0" w:color="auto"/>
        <w:right w:val="none" w:sz="0" w:space="0" w:color="auto"/>
      </w:divBdr>
    </w:div>
    <w:div w:id="6162566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9211135">
      <w:bodyDiv w:val="1"/>
      <w:marLeft w:val="0"/>
      <w:marRight w:val="0"/>
      <w:marTop w:val="0"/>
      <w:marBottom w:val="0"/>
      <w:divBdr>
        <w:top w:val="none" w:sz="0" w:space="0" w:color="auto"/>
        <w:left w:val="none" w:sz="0" w:space="0" w:color="auto"/>
        <w:bottom w:val="none" w:sz="0" w:space="0" w:color="auto"/>
        <w:right w:val="none" w:sz="0" w:space="0" w:color="auto"/>
      </w:divBdr>
    </w:div>
    <w:div w:id="795564535">
      <w:bodyDiv w:val="1"/>
      <w:marLeft w:val="0"/>
      <w:marRight w:val="0"/>
      <w:marTop w:val="0"/>
      <w:marBottom w:val="0"/>
      <w:divBdr>
        <w:top w:val="none" w:sz="0" w:space="0" w:color="auto"/>
        <w:left w:val="none" w:sz="0" w:space="0" w:color="auto"/>
        <w:bottom w:val="none" w:sz="0" w:space="0" w:color="auto"/>
        <w:right w:val="none" w:sz="0" w:space="0" w:color="auto"/>
      </w:divBdr>
    </w:div>
    <w:div w:id="802891027">
      <w:bodyDiv w:val="1"/>
      <w:marLeft w:val="0"/>
      <w:marRight w:val="0"/>
      <w:marTop w:val="0"/>
      <w:marBottom w:val="0"/>
      <w:divBdr>
        <w:top w:val="none" w:sz="0" w:space="0" w:color="auto"/>
        <w:left w:val="none" w:sz="0" w:space="0" w:color="auto"/>
        <w:bottom w:val="none" w:sz="0" w:space="0" w:color="auto"/>
        <w:right w:val="none" w:sz="0" w:space="0" w:color="auto"/>
      </w:divBdr>
    </w:div>
    <w:div w:id="827286935">
      <w:bodyDiv w:val="1"/>
      <w:marLeft w:val="0"/>
      <w:marRight w:val="0"/>
      <w:marTop w:val="0"/>
      <w:marBottom w:val="0"/>
      <w:divBdr>
        <w:top w:val="none" w:sz="0" w:space="0" w:color="auto"/>
        <w:left w:val="none" w:sz="0" w:space="0" w:color="auto"/>
        <w:bottom w:val="none" w:sz="0" w:space="0" w:color="auto"/>
        <w:right w:val="none" w:sz="0" w:space="0" w:color="auto"/>
      </w:divBdr>
    </w:div>
    <w:div w:id="914978472">
      <w:bodyDiv w:val="1"/>
      <w:marLeft w:val="0"/>
      <w:marRight w:val="0"/>
      <w:marTop w:val="0"/>
      <w:marBottom w:val="0"/>
      <w:divBdr>
        <w:top w:val="none" w:sz="0" w:space="0" w:color="auto"/>
        <w:left w:val="none" w:sz="0" w:space="0" w:color="auto"/>
        <w:bottom w:val="none" w:sz="0" w:space="0" w:color="auto"/>
        <w:right w:val="none" w:sz="0" w:space="0" w:color="auto"/>
      </w:divBdr>
    </w:div>
    <w:div w:id="977221419">
      <w:bodyDiv w:val="1"/>
      <w:marLeft w:val="0"/>
      <w:marRight w:val="0"/>
      <w:marTop w:val="0"/>
      <w:marBottom w:val="0"/>
      <w:divBdr>
        <w:top w:val="none" w:sz="0" w:space="0" w:color="auto"/>
        <w:left w:val="none" w:sz="0" w:space="0" w:color="auto"/>
        <w:bottom w:val="none" w:sz="0" w:space="0" w:color="auto"/>
        <w:right w:val="none" w:sz="0" w:space="0" w:color="auto"/>
      </w:divBdr>
    </w:div>
    <w:div w:id="1045913663">
      <w:bodyDiv w:val="1"/>
      <w:marLeft w:val="0"/>
      <w:marRight w:val="0"/>
      <w:marTop w:val="0"/>
      <w:marBottom w:val="0"/>
      <w:divBdr>
        <w:top w:val="none" w:sz="0" w:space="0" w:color="auto"/>
        <w:left w:val="none" w:sz="0" w:space="0" w:color="auto"/>
        <w:bottom w:val="none" w:sz="0" w:space="0" w:color="auto"/>
        <w:right w:val="none" w:sz="0" w:space="0" w:color="auto"/>
      </w:divBdr>
      <w:divsChild>
        <w:div w:id="762993795">
          <w:marLeft w:val="0"/>
          <w:marRight w:val="0"/>
          <w:marTop w:val="0"/>
          <w:marBottom w:val="0"/>
          <w:divBdr>
            <w:top w:val="none" w:sz="0" w:space="0" w:color="auto"/>
            <w:left w:val="none" w:sz="0" w:space="0" w:color="auto"/>
            <w:bottom w:val="none" w:sz="0" w:space="0" w:color="auto"/>
            <w:right w:val="none" w:sz="0" w:space="0" w:color="auto"/>
          </w:divBdr>
          <w:divsChild>
            <w:div w:id="1381324747">
              <w:marLeft w:val="0"/>
              <w:marRight w:val="0"/>
              <w:marTop w:val="0"/>
              <w:marBottom w:val="0"/>
              <w:divBdr>
                <w:top w:val="none" w:sz="0" w:space="0" w:color="auto"/>
                <w:left w:val="none" w:sz="0" w:space="0" w:color="auto"/>
                <w:bottom w:val="none" w:sz="0" w:space="0" w:color="auto"/>
                <w:right w:val="none" w:sz="0" w:space="0" w:color="auto"/>
              </w:divBdr>
              <w:divsChild>
                <w:div w:id="1271819697">
                  <w:marLeft w:val="0"/>
                  <w:marRight w:val="0"/>
                  <w:marTop w:val="0"/>
                  <w:marBottom w:val="0"/>
                  <w:divBdr>
                    <w:top w:val="none" w:sz="0" w:space="0" w:color="auto"/>
                    <w:left w:val="none" w:sz="0" w:space="0" w:color="auto"/>
                    <w:bottom w:val="none" w:sz="0" w:space="0" w:color="auto"/>
                    <w:right w:val="none" w:sz="0" w:space="0" w:color="auto"/>
                  </w:divBdr>
                  <w:divsChild>
                    <w:div w:id="1065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097942415">
      <w:bodyDiv w:val="1"/>
      <w:marLeft w:val="0"/>
      <w:marRight w:val="0"/>
      <w:marTop w:val="0"/>
      <w:marBottom w:val="0"/>
      <w:divBdr>
        <w:top w:val="none" w:sz="0" w:space="0" w:color="auto"/>
        <w:left w:val="none" w:sz="0" w:space="0" w:color="auto"/>
        <w:bottom w:val="none" w:sz="0" w:space="0" w:color="auto"/>
        <w:right w:val="none" w:sz="0" w:space="0" w:color="auto"/>
      </w:divBdr>
    </w:div>
    <w:div w:id="1099370663">
      <w:bodyDiv w:val="1"/>
      <w:marLeft w:val="0"/>
      <w:marRight w:val="0"/>
      <w:marTop w:val="0"/>
      <w:marBottom w:val="0"/>
      <w:divBdr>
        <w:top w:val="none" w:sz="0" w:space="0" w:color="auto"/>
        <w:left w:val="none" w:sz="0" w:space="0" w:color="auto"/>
        <w:bottom w:val="none" w:sz="0" w:space="0" w:color="auto"/>
        <w:right w:val="none" w:sz="0" w:space="0" w:color="auto"/>
      </w:divBdr>
    </w:div>
    <w:div w:id="1136411225">
      <w:bodyDiv w:val="1"/>
      <w:marLeft w:val="0"/>
      <w:marRight w:val="0"/>
      <w:marTop w:val="0"/>
      <w:marBottom w:val="0"/>
      <w:divBdr>
        <w:top w:val="none" w:sz="0" w:space="0" w:color="auto"/>
        <w:left w:val="none" w:sz="0" w:space="0" w:color="auto"/>
        <w:bottom w:val="none" w:sz="0" w:space="0" w:color="auto"/>
        <w:right w:val="none" w:sz="0" w:space="0" w:color="auto"/>
      </w:divBdr>
    </w:div>
    <w:div w:id="1222640696">
      <w:bodyDiv w:val="1"/>
      <w:marLeft w:val="0"/>
      <w:marRight w:val="0"/>
      <w:marTop w:val="0"/>
      <w:marBottom w:val="0"/>
      <w:divBdr>
        <w:top w:val="none" w:sz="0" w:space="0" w:color="auto"/>
        <w:left w:val="none" w:sz="0" w:space="0" w:color="auto"/>
        <w:bottom w:val="none" w:sz="0" w:space="0" w:color="auto"/>
        <w:right w:val="none" w:sz="0" w:space="0" w:color="auto"/>
      </w:divBdr>
    </w:div>
    <w:div w:id="1267346531">
      <w:bodyDiv w:val="1"/>
      <w:marLeft w:val="0"/>
      <w:marRight w:val="0"/>
      <w:marTop w:val="0"/>
      <w:marBottom w:val="0"/>
      <w:divBdr>
        <w:top w:val="none" w:sz="0" w:space="0" w:color="auto"/>
        <w:left w:val="none" w:sz="0" w:space="0" w:color="auto"/>
        <w:bottom w:val="none" w:sz="0" w:space="0" w:color="auto"/>
        <w:right w:val="none" w:sz="0" w:space="0" w:color="auto"/>
      </w:divBdr>
    </w:div>
    <w:div w:id="1343321351">
      <w:bodyDiv w:val="1"/>
      <w:marLeft w:val="0"/>
      <w:marRight w:val="0"/>
      <w:marTop w:val="0"/>
      <w:marBottom w:val="0"/>
      <w:divBdr>
        <w:top w:val="none" w:sz="0" w:space="0" w:color="auto"/>
        <w:left w:val="none" w:sz="0" w:space="0" w:color="auto"/>
        <w:bottom w:val="none" w:sz="0" w:space="0" w:color="auto"/>
        <w:right w:val="none" w:sz="0" w:space="0" w:color="auto"/>
      </w:divBdr>
    </w:div>
    <w:div w:id="1391004569">
      <w:bodyDiv w:val="1"/>
      <w:marLeft w:val="0"/>
      <w:marRight w:val="0"/>
      <w:marTop w:val="0"/>
      <w:marBottom w:val="0"/>
      <w:divBdr>
        <w:top w:val="none" w:sz="0" w:space="0" w:color="auto"/>
        <w:left w:val="none" w:sz="0" w:space="0" w:color="auto"/>
        <w:bottom w:val="none" w:sz="0" w:space="0" w:color="auto"/>
        <w:right w:val="none" w:sz="0" w:space="0" w:color="auto"/>
      </w:divBdr>
    </w:div>
    <w:div w:id="1402826965">
      <w:bodyDiv w:val="1"/>
      <w:marLeft w:val="0"/>
      <w:marRight w:val="0"/>
      <w:marTop w:val="0"/>
      <w:marBottom w:val="0"/>
      <w:divBdr>
        <w:top w:val="none" w:sz="0" w:space="0" w:color="auto"/>
        <w:left w:val="none" w:sz="0" w:space="0" w:color="auto"/>
        <w:bottom w:val="none" w:sz="0" w:space="0" w:color="auto"/>
        <w:right w:val="none" w:sz="0" w:space="0" w:color="auto"/>
      </w:divBdr>
    </w:div>
    <w:div w:id="1410468190">
      <w:bodyDiv w:val="1"/>
      <w:marLeft w:val="0"/>
      <w:marRight w:val="0"/>
      <w:marTop w:val="0"/>
      <w:marBottom w:val="0"/>
      <w:divBdr>
        <w:top w:val="none" w:sz="0" w:space="0" w:color="auto"/>
        <w:left w:val="none" w:sz="0" w:space="0" w:color="auto"/>
        <w:bottom w:val="none" w:sz="0" w:space="0" w:color="auto"/>
        <w:right w:val="none" w:sz="0" w:space="0" w:color="auto"/>
      </w:divBdr>
    </w:div>
    <w:div w:id="1511682928">
      <w:bodyDiv w:val="1"/>
      <w:marLeft w:val="0"/>
      <w:marRight w:val="0"/>
      <w:marTop w:val="0"/>
      <w:marBottom w:val="0"/>
      <w:divBdr>
        <w:top w:val="none" w:sz="0" w:space="0" w:color="auto"/>
        <w:left w:val="none" w:sz="0" w:space="0" w:color="auto"/>
        <w:bottom w:val="none" w:sz="0" w:space="0" w:color="auto"/>
        <w:right w:val="none" w:sz="0" w:space="0" w:color="auto"/>
      </w:divBdr>
    </w:div>
    <w:div w:id="1541742120">
      <w:bodyDiv w:val="1"/>
      <w:marLeft w:val="0"/>
      <w:marRight w:val="0"/>
      <w:marTop w:val="0"/>
      <w:marBottom w:val="0"/>
      <w:divBdr>
        <w:top w:val="none" w:sz="0" w:space="0" w:color="auto"/>
        <w:left w:val="none" w:sz="0" w:space="0" w:color="auto"/>
        <w:bottom w:val="none" w:sz="0" w:space="0" w:color="auto"/>
        <w:right w:val="none" w:sz="0" w:space="0" w:color="auto"/>
      </w:divBdr>
    </w:div>
    <w:div w:id="1598512928">
      <w:bodyDiv w:val="1"/>
      <w:marLeft w:val="0"/>
      <w:marRight w:val="0"/>
      <w:marTop w:val="0"/>
      <w:marBottom w:val="0"/>
      <w:divBdr>
        <w:top w:val="none" w:sz="0" w:space="0" w:color="auto"/>
        <w:left w:val="none" w:sz="0" w:space="0" w:color="auto"/>
        <w:bottom w:val="none" w:sz="0" w:space="0" w:color="auto"/>
        <w:right w:val="none" w:sz="0" w:space="0" w:color="auto"/>
      </w:divBdr>
    </w:div>
    <w:div w:id="1690910667">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21827395">
      <w:bodyDiv w:val="1"/>
      <w:marLeft w:val="0"/>
      <w:marRight w:val="0"/>
      <w:marTop w:val="0"/>
      <w:marBottom w:val="0"/>
      <w:divBdr>
        <w:top w:val="none" w:sz="0" w:space="0" w:color="auto"/>
        <w:left w:val="none" w:sz="0" w:space="0" w:color="auto"/>
        <w:bottom w:val="none" w:sz="0" w:space="0" w:color="auto"/>
        <w:right w:val="none" w:sz="0" w:space="0" w:color="auto"/>
      </w:divBdr>
    </w:div>
    <w:div w:id="1751080780">
      <w:bodyDiv w:val="1"/>
      <w:marLeft w:val="0"/>
      <w:marRight w:val="0"/>
      <w:marTop w:val="0"/>
      <w:marBottom w:val="0"/>
      <w:divBdr>
        <w:top w:val="none" w:sz="0" w:space="0" w:color="auto"/>
        <w:left w:val="none" w:sz="0" w:space="0" w:color="auto"/>
        <w:bottom w:val="none" w:sz="0" w:space="0" w:color="auto"/>
        <w:right w:val="none" w:sz="0" w:space="0" w:color="auto"/>
      </w:divBdr>
    </w:div>
    <w:div w:id="1785346862">
      <w:bodyDiv w:val="1"/>
      <w:marLeft w:val="0"/>
      <w:marRight w:val="0"/>
      <w:marTop w:val="0"/>
      <w:marBottom w:val="0"/>
      <w:divBdr>
        <w:top w:val="none" w:sz="0" w:space="0" w:color="auto"/>
        <w:left w:val="none" w:sz="0" w:space="0" w:color="auto"/>
        <w:bottom w:val="none" w:sz="0" w:space="0" w:color="auto"/>
        <w:right w:val="none" w:sz="0" w:space="0" w:color="auto"/>
      </w:divBdr>
    </w:div>
    <w:div w:id="1803451860">
      <w:bodyDiv w:val="1"/>
      <w:marLeft w:val="0"/>
      <w:marRight w:val="0"/>
      <w:marTop w:val="0"/>
      <w:marBottom w:val="0"/>
      <w:divBdr>
        <w:top w:val="none" w:sz="0" w:space="0" w:color="auto"/>
        <w:left w:val="none" w:sz="0" w:space="0" w:color="auto"/>
        <w:bottom w:val="none" w:sz="0" w:space="0" w:color="auto"/>
        <w:right w:val="none" w:sz="0" w:space="0" w:color="auto"/>
      </w:divBdr>
    </w:div>
    <w:div w:id="1804762604">
      <w:bodyDiv w:val="1"/>
      <w:marLeft w:val="0"/>
      <w:marRight w:val="0"/>
      <w:marTop w:val="0"/>
      <w:marBottom w:val="0"/>
      <w:divBdr>
        <w:top w:val="none" w:sz="0" w:space="0" w:color="auto"/>
        <w:left w:val="none" w:sz="0" w:space="0" w:color="auto"/>
        <w:bottom w:val="none" w:sz="0" w:space="0" w:color="auto"/>
        <w:right w:val="none" w:sz="0" w:space="0" w:color="auto"/>
      </w:divBdr>
    </w:div>
    <w:div w:id="1952593487">
      <w:bodyDiv w:val="1"/>
      <w:marLeft w:val="0"/>
      <w:marRight w:val="0"/>
      <w:marTop w:val="0"/>
      <w:marBottom w:val="0"/>
      <w:divBdr>
        <w:top w:val="none" w:sz="0" w:space="0" w:color="auto"/>
        <w:left w:val="none" w:sz="0" w:space="0" w:color="auto"/>
        <w:bottom w:val="none" w:sz="0" w:space="0" w:color="auto"/>
        <w:right w:val="none" w:sz="0" w:space="0" w:color="auto"/>
      </w:divBdr>
    </w:div>
    <w:div w:id="1978875157">
      <w:bodyDiv w:val="1"/>
      <w:marLeft w:val="0"/>
      <w:marRight w:val="0"/>
      <w:marTop w:val="0"/>
      <w:marBottom w:val="0"/>
      <w:divBdr>
        <w:top w:val="none" w:sz="0" w:space="0" w:color="auto"/>
        <w:left w:val="none" w:sz="0" w:space="0" w:color="auto"/>
        <w:bottom w:val="none" w:sz="0" w:space="0" w:color="auto"/>
        <w:right w:val="none" w:sz="0" w:space="0" w:color="auto"/>
      </w:divBdr>
    </w:div>
    <w:div w:id="1983263851">
      <w:bodyDiv w:val="1"/>
      <w:marLeft w:val="0"/>
      <w:marRight w:val="0"/>
      <w:marTop w:val="0"/>
      <w:marBottom w:val="0"/>
      <w:divBdr>
        <w:top w:val="none" w:sz="0" w:space="0" w:color="auto"/>
        <w:left w:val="none" w:sz="0" w:space="0" w:color="auto"/>
        <w:bottom w:val="none" w:sz="0" w:space="0" w:color="auto"/>
        <w:right w:val="none" w:sz="0" w:space="0" w:color="auto"/>
      </w:divBdr>
    </w:div>
    <w:div w:id="2063483208">
      <w:bodyDiv w:val="1"/>
      <w:marLeft w:val="0"/>
      <w:marRight w:val="0"/>
      <w:marTop w:val="0"/>
      <w:marBottom w:val="0"/>
      <w:divBdr>
        <w:top w:val="none" w:sz="0" w:space="0" w:color="auto"/>
        <w:left w:val="none" w:sz="0" w:space="0" w:color="auto"/>
        <w:bottom w:val="none" w:sz="0" w:space="0" w:color="auto"/>
        <w:right w:val="none" w:sz="0" w:space="0" w:color="auto"/>
      </w:divBdr>
    </w:div>
    <w:div w:id="2097508535">
      <w:bodyDiv w:val="1"/>
      <w:marLeft w:val="0"/>
      <w:marRight w:val="0"/>
      <w:marTop w:val="0"/>
      <w:marBottom w:val="0"/>
      <w:divBdr>
        <w:top w:val="none" w:sz="0" w:space="0" w:color="auto"/>
        <w:left w:val="none" w:sz="0" w:space="0" w:color="auto"/>
        <w:bottom w:val="none" w:sz="0" w:space="0" w:color="auto"/>
        <w:right w:val="none" w:sz="0" w:space="0" w:color="auto"/>
      </w:divBdr>
    </w:div>
    <w:div w:id="2128546932">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the-green-book-appraisal-and-evaluation-in-central-governent" TargetMode="External"/><Relationship Id="rId26" Type="http://schemas.openxmlformats.org/officeDocument/2006/relationships/hyperlink" Target="https://www.scope.org.uk/media/purple-pound/" TargetMode="External"/><Relationship Id="rId3" Type="http://schemas.openxmlformats.org/officeDocument/2006/relationships/customXml" Target="../customXml/item3.xml"/><Relationship Id="rId21" Type="http://schemas.openxmlformats.org/officeDocument/2006/relationships/hyperlink" Target="https://assets.publishing.service.gov.uk/media/6718fc47dd93e6b1fa07bec7/dft-review-tag-impacts-through-wellbeing-lens.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ncat.uk" TargetMode="External"/><Relationship Id="rId17" Type="http://schemas.openxmlformats.org/officeDocument/2006/relationships/hyperlink" Target="https://www.gov.uk/government/publications/tag-unit-a42-distributional-impact-appraisal" TargetMode="External"/><Relationship Id="rId25" Type="http://schemas.openxmlformats.org/officeDocument/2006/relationships/hyperlink" Target="https://committees.parliament.uk/publications/47122/documents/244036/defaul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tag-unit-a41-social-impact-appraisal" TargetMode="External"/><Relationship Id="rId20" Type="http://schemas.openxmlformats.org/officeDocument/2006/relationships/hyperlink" Target="https://assets.publishing.service.gov.uk/media/5b570a11e5274a3fe478c352/inclusive-transport-strategy.pdf" TargetMode="External"/><Relationship Id="rId29" Type="http://schemas.openxmlformats.org/officeDocument/2006/relationships/hyperlink" Target="https://accessible-techcomm.org/wp-content/uploads/Hidden-Market-Spending-Power-of-People-with-Disabilities-April-20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hyperlink" Target="https://osr.statisticsauthority.gov.uk/publication/review-of-transport-accessibility-statistic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speeches/integrated-national-transport-strategy-for-england" TargetMode="External"/><Relationship Id="rId23" Type="http://schemas.openxmlformats.org/officeDocument/2006/relationships/hyperlink" Target="https://www.ons.gov.uk/peoplepopulationandcommunity/personalandhouseholdfinances/expenditure/bulletins/familyspendingintheuk/april2022tomarch2023" TargetMode="External"/><Relationship Id="rId28" Type="http://schemas.openxmlformats.org/officeDocument/2006/relationships/hyperlink" Target="https://doi.org/10.1016/j.tranpol.2012.01.01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green-book-review-2025"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clusive-transport-strategy" TargetMode="External"/><Relationship Id="rId22" Type="http://schemas.openxmlformats.org/officeDocument/2006/relationships/hyperlink" Target="https://committees.parliament.uk/publications/48336/documents/252972/default/" TargetMode="External"/><Relationship Id="rId27" Type="http://schemas.openxmlformats.org/officeDocument/2006/relationships/hyperlink" Target="https://doi.org/10.1016/j.jth.2014.07.001"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4102337d50a9a13ff1f75ea3a1717009">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d7c607d49ccde755fac9f8a91e929a82"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Props1.xml><?xml version="1.0" encoding="utf-8"?>
<ds:datastoreItem xmlns:ds="http://schemas.openxmlformats.org/officeDocument/2006/customXml" ds:itemID="{66DD5CCE-B8D8-4F55-B761-0A45E3DCB47B}">
  <ds:schemaRefs>
    <ds:schemaRef ds:uri="http://schemas.microsoft.com/sharepoint/v3/contenttype/forms"/>
  </ds:schemaRefs>
</ds:datastoreItem>
</file>

<file path=customXml/itemProps2.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3.xml><?xml version="1.0" encoding="utf-8"?>
<ds:datastoreItem xmlns:ds="http://schemas.openxmlformats.org/officeDocument/2006/customXml" ds:itemID="{2D79DC06-A7F5-4BCD-A914-4B2BC7030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3534</Words>
  <Characters>20150</Characters>
  <Application>Microsoft Office Word</Application>
  <DocSecurity>0</DocSecurity>
  <Lines>167</Lines>
  <Paragraphs>47</Paragraphs>
  <ScaleCrop>false</ScaleCrop>
  <Company/>
  <LinksUpToDate>false</LinksUpToDate>
  <CharactersWithSpaces>23637</CharactersWithSpaces>
  <SharedDoc>false</SharedDoc>
  <HLinks>
    <vt:vector size="12" baseType="variant">
      <vt:variant>
        <vt:i4>5177450</vt:i4>
      </vt:variant>
      <vt:variant>
        <vt:i4>3</vt:i4>
      </vt:variant>
      <vt:variant>
        <vt:i4>0</vt:i4>
      </vt:variant>
      <vt:variant>
        <vt:i4>5</vt:i4>
      </vt:variant>
      <vt:variant>
        <vt:lpwstr>mailto:info@ncat.uk</vt:lpwstr>
      </vt:variant>
      <vt:variant>
        <vt:lpwstr/>
      </vt:variant>
      <vt:variant>
        <vt:i4>6357042</vt:i4>
      </vt:variant>
      <vt:variant>
        <vt:i4>0</vt:i4>
      </vt:variant>
      <vt:variant>
        <vt:i4>0</vt:i4>
      </vt:variant>
      <vt:variant>
        <vt:i4>5</vt:i4>
      </vt:variant>
      <vt:variant>
        <vt:lpwstr>http://www.ncat.uk/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Madeleine Hughes</cp:lastModifiedBy>
  <cp:revision>2</cp:revision>
  <dcterms:created xsi:type="dcterms:W3CDTF">2025-12-08T12:51:00Z</dcterms:created>
  <dcterms:modified xsi:type="dcterms:W3CDTF">2025-12-08T12:51:00Z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y fmtid="{D5CDD505-2E9C-101B-9397-08002B2CF9AE}" pid="4" name="DocBulletsRepaired">
    <vt:lpwstr>Yes</vt:lpwstr>
  </property>
  <property fmtid="{D5CDD505-2E9C-101B-9397-08002B2CF9AE}" pid="5" name="docLang">
    <vt:lpwstr>en</vt:lpwstr>
  </property>
</Properties>
</file>